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2F7F" w:rsidRDefault="008B2F7F" w:rsidP="00327EF2">
      <w:pPr>
        <w:jc w:val="both"/>
      </w:pPr>
    </w:p>
    <w:p w:rsidR="008B2F7F" w:rsidRDefault="008B2F7F" w:rsidP="00327EF2">
      <w:pPr>
        <w:jc w:val="both"/>
      </w:pPr>
    </w:p>
    <w:p w:rsidR="008B2F7F" w:rsidRDefault="008B2F7F" w:rsidP="006F08A1">
      <w:pPr>
        <w:jc w:val="center"/>
      </w:pPr>
    </w:p>
    <w:p w:rsidR="008B2F7F" w:rsidRDefault="007F1897" w:rsidP="007F1897">
      <w:pPr>
        <w:tabs>
          <w:tab w:val="left" w:pos="3045"/>
        </w:tabs>
        <w:rPr>
          <w:b/>
          <w:sz w:val="24"/>
          <w:szCs w:val="24"/>
        </w:rPr>
      </w:pPr>
      <w:r>
        <w:rPr>
          <w:b/>
          <w:sz w:val="24"/>
          <w:szCs w:val="24"/>
        </w:rPr>
        <w:tab/>
      </w:r>
    </w:p>
    <w:p w:rsidR="008B2F7F" w:rsidRDefault="008B2F7F" w:rsidP="008B2F7F">
      <w:pPr>
        <w:jc w:val="center"/>
        <w:rPr>
          <w:b/>
          <w:sz w:val="24"/>
          <w:szCs w:val="24"/>
        </w:rPr>
      </w:pPr>
    </w:p>
    <w:p w:rsidR="008B2F7F" w:rsidRDefault="008B2F7F" w:rsidP="008B2F7F">
      <w:pPr>
        <w:jc w:val="center"/>
        <w:rPr>
          <w:b/>
          <w:sz w:val="24"/>
          <w:szCs w:val="24"/>
        </w:rPr>
      </w:pPr>
    </w:p>
    <w:p w:rsidR="008B2F7F" w:rsidRDefault="008B2F7F" w:rsidP="008B2F7F">
      <w:pPr>
        <w:jc w:val="center"/>
        <w:rPr>
          <w:b/>
          <w:sz w:val="24"/>
          <w:szCs w:val="24"/>
        </w:rPr>
      </w:pPr>
    </w:p>
    <w:p w:rsidR="008B2F7F" w:rsidRDefault="008B2F7F" w:rsidP="008B2F7F">
      <w:pPr>
        <w:jc w:val="center"/>
        <w:rPr>
          <w:b/>
          <w:sz w:val="24"/>
          <w:szCs w:val="24"/>
        </w:rPr>
      </w:pPr>
    </w:p>
    <w:p w:rsidR="008B2F7F" w:rsidRDefault="008B2F7F" w:rsidP="008B2F7F">
      <w:pPr>
        <w:jc w:val="center"/>
        <w:rPr>
          <w:b/>
          <w:sz w:val="24"/>
          <w:szCs w:val="24"/>
        </w:rPr>
      </w:pPr>
    </w:p>
    <w:p w:rsidR="008B2F7F" w:rsidRDefault="008B2F7F" w:rsidP="008B2F7F">
      <w:pPr>
        <w:jc w:val="center"/>
        <w:rPr>
          <w:b/>
          <w:sz w:val="24"/>
          <w:szCs w:val="24"/>
        </w:rPr>
      </w:pPr>
    </w:p>
    <w:p w:rsidR="008B2F7F" w:rsidRDefault="008B2F7F" w:rsidP="008B2F7F">
      <w:pPr>
        <w:jc w:val="center"/>
        <w:rPr>
          <w:b/>
          <w:sz w:val="24"/>
          <w:szCs w:val="24"/>
        </w:rPr>
      </w:pPr>
    </w:p>
    <w:p w:rsidR="008B2F7F" w:rsidRPr="006971C9" w:rsidRDefault="008B2F7F" w:rsidP="008B2F7F">
      <w:pPr>
        <w:jc w:val="center"/>
        <w:rPr>
          <w:b/>
          <w:sz w:val="24"/>
          <w:szCs w:val="24"/>
        </w:rPr>
      </w:pPr>
      <w:r>
        <w:rPr>
          <w:b/>
          <w:sz w:val="24"/>
          <w:szCs w:val="24"/>
        </w:rPr>
        <w:t>ELŐTERJESZTÉS</w:t>
      </w:r>
    </w:p>
    <w:p w:rsidR="008B2F7F" w:rsidRPr="006971C9" w:rsidRDefault="008B2F7F" w:rsidP="008B2F7F">
      <w:pPr>
        <w:jc w:val="center"/>
        <w:rPr>
          <w:b/>
          <w:sz w:val="24"/>
          <w:szCs w:val="24"/>
        </w:rPr>
      </w:pPr>
    </w:p>
    <w:p w:rsidR="008B2F7F" w:rsidRPr="006971C9" w:rsidRDefault="008B2F7F" w:rsidP="008B2F7F">
      <w:pPr>
        <w:jc w:val="center"/>
        <w:rPr>
          <w:b/>
          <w:sz w:val="24"/>
          <w:szCs w:val="24"/>
        </w:rPr>
      </w:pPr>
      <w:r w:rsidRPr="006971C9">
        <w:rPr>
          <w:b/>
          <w:sz w:val="24"/>
          <w:szCs w:val="24"/>
        </w:rPr>
        <w:t>Hévíz Város Önkormányzat Képviselő-testülete</w:t>
      </w:r>
    </w:p>
    <w:p w:rsidR="008B2F7F" w:rsidRPr="006971C9" w:rsidRDefault="008B2F7F" w:rsidP="008B2F7F">
      <w:pPr>
        <w:jc w:val="center"/>
        <w:rPr>
          <w:b/>
          <w:sz w:val="24"/>
          <w:szCs w:val="24"/>
        </w:rPr>
      </w:pPr>
      <w:r w:rsidRPr="006971C9">
        <w:rPr>
          <w:b/>
          <w:sz w:val="24"/>
          <w:szCs w:val="24"/>
        </w:rPr>
        <w:t>201</w:t>
      </w:r>
      <w:r w:rsidR="007F1897">
        <w:rPr>
          <w:b/>
          <w:sz w:val="24"/>
          <w:szCs w:val="24"/>
        </w:rPr>
        <w:t>6. május 26</w:t>
      </w:r>
      <w:r w:rsidR="006F08A1">
        <w:rPr>
          <w:b/>
          <w:sz w:val="24"/>
          <w:szCs w:val="24"/>
        </w:rPr>
        <w:t xml:space="preserve">- </w:t>
      </w:r>
      <w:proofErr w:type="spellStart"/>
      <w:r w:rsidR="006F08A1">
        <w:rPr>
          <w:b/>
          <w:sz w:val="24"/>
          <w:szCs w:val="24"/>
        </w:rPr>
        <w:t>a</w:t>
      </w:r>
      <w:r w:rsidR="006F08A1" w:rsidRPr="006971C9">
        <w:rPr>
          <w:b/>
          <w:sz w:val="24"/>
          <w:szCs w:val="24"/>
        </w:rPr>
        <w:t>i</w:t>
      </w:r>
      <w:proofErr w:type="spellEnd"/>
      <w:r w:rsidRPr="006971C9">
        <w:rPr>
          <w:b/>
          <w:sz w:val="24"/>
          <w:szCs w:val="24"/>
        </w:rPr>
        <w:t xml:space="preserve"> nyilvános ülésére</w:t>
      </w:r>
    </w:p>
    <w:p w:rsidR="008B2F7F" w:rsidRPr="006971C9" w:rsidRDefault="008B2F7F" w:rsidP="008B2F7F">
      <w:pPr>
        <w:jc w:val="center"/>
        <w:rPr>
          <w:b/>
          <w:sz w:val="24"/>
          <w:szCs w:val="24"/>
        </w:rPr>
      </w:pPr>
    </w:p>
    <w:p w:rsidR="008B2F7F" w:rsidRDefault="008B2F7F" w:rsidP="008B2F7F">
      <w:pPr>
        <w:jc w:val="center"/>
        <w:rPr>
          <w:b/>
          <w:sz w:val="24"/>
          <w:szCs w:val="24"/>
        </w:rPr>
      </w:pPr>
    </w:p>
    <w:p w:rsidR="008B2F7F" w:rsidRDefault="008B2F7F" w:rsidP="008B2F7F">
      <w:pPr>
        <w:jc w:val="center"/>
        <w:rPr>
          <w:b/>
          <w:sz w:val="24"/>
          <w:szCs w:val="24"/>
        </w:rPr>
      </w:pPr>
    </w:p>
    <w:p w:rsidR="008B2F7F" w:rsidRDefault="008B2F7F" w:rsidP="008B2F7F">
      <w:pPr>
        <w:jc w:val="center"/>
        <w:rPr>
          <w:b/>
          <w:sz w:val="24"/>
          <w:szCs w:val="24"/>
        </w:rPr>
      </w:pPr>
    </w:p>
    <w:p w:rsidR="008B2F7F" w:rsidRPr="006971C9" w:rsidRDefault="008B2F7F" w:rsidP="008B2F7F">
      <w:pPr>
        <w:jc w:val="center"/>
        <w:rPr>
          <w:b/>
          <w:sz w:val="24"/>
          <w:szCs w:val="24"/>
        </w:rPr>
      </w:pPr>
    </w:p>
    <w:p w:rsidR="008B2F7F" w:rsidRPr="009460C3" w:rsidRDefault="008B2F7F" w:rsidP="008B2F7F">
      <w:pPr>
        <w:rPr>
          <w:bCs/>
          <w:sz w:val="24"/>
          <w:szCs w:val="24"/>
        </w:rPr>
      </w:pPr>
      <w:r w:rsidRPr="009460C3">
        <w:rPr>
          <w:b/>
          <w:sz w:val="24"/>
          <w:szCs w:val="24"/>
        </w:rPr>
        <w:t>Tárgy</w:t>
      </w:r>
      <w:r w:rsidR="005049DA" w:rsidRPr="009460C3">
        <w:rPr>
          <w:b/>
          <w:sz w:val="24"/>
          <w:szCs w:val="24"/>
        </w:rPr>
        <w:t>:</w:t>
      </w:r>
      <w:r w:rsidR="005049DA" w:rsidRPr="009460C3">
        <w:rPr>
          <w:sz w:val="24"/>
          <w:szCs w:val="24"/>
        </w:rPr>
        <w:t xml:space="preserve"> A</w:t>
      </w:r>
      <w:r w:rsidR="00FF1EE3" w:rsidRPr="009460C3">
        <w:rPr>
          <w:sz w:val="24"/>
          <w:szCs w:val="24"/>
        </w:rPr>
        <w:t xml:space="preserve"> helyi adó</w:t>
      </w:r>
      <w:r w:rsidRPr="009460C3">
        <w:rPr>
          <w:sz w:val="24"/>
          <w:szCs w:val="24"/>
        </w:rPr>
        <w:t>ról szóló</w:t>
      </w:r>
      <w:r w:rsidR="00F92E2B" w:rsidRPr="009460C3">
        <w:rPr>
          <w:sz w:val="24"/>
          <w:szCs w:val="24"/>
        </w:rPr>
        <w:t xml:space="preserve"> 4/2010. (II.10.)</w:t>
      </w:r>
      <w:r w:rsidRPr="009460C3">
        <w:rPr>
          <w:sz w:val="24"/>
          <w:szCs w:val="24"/>
        </w:rPr>
        <w:t xml:space="preserve"> önkormányzati rendelet módosítása </w:t>
      </w:r>
    </w:p>
    <w:p w:rsidR="008B2F7F" w:rsidRPr="009460C3" w:rsidRDefault="008B2F7F" w:rsidP="008B2F7F">
      <w:pPr>
        <w:jc w:val="both"/>
        <w:rPr>
          <w:sz w:val="24"/>
          <w:szCs w:val="24"/>
        </w:rPr>
      </w:pPr>
    </w:p>
    <w:p w:rsidR="008B2F7F" w:rsidRPr="009460C3" w:rsidRDefault="008B2F7F" w:rsidP="008B2F7F">
      <w:pPr>
        <w:jc w:val="both"/>
        <w:rPr>
          <w:sz w:val="24"/>
          <w:szCs w:val="24"/>
        </w:rPr>
      </w:pPr>
    </w:p>
    <w:p w:rsidR="008B2F7F" w:rsidRPr="009460C3" w:rsidRDefault="008B2F7F" w:rsidP="008B2F7F">
      <w:pPr>
        <w:jc w:val="both"/>
        <w:rPr>
          <w:sz w:val="24"/>
          <w:szCs w:val="24"/>
        </w:rPr>
      </w:pPr>
      <w:r w:rsidRPr="009460C3">
        <w:rPr>
          <w:b/>
          <w:sz w:val="24"/>
          <w:szCs w:val="24"/>
        </w:rPr>
        <w:t>Az előterjesztő:</w:t>
      </w:r>
      <w:r w:rsidRPr="009460C3">
        <w:rPr>
          <w:sz w:val="24"/>
          <w:szCs w:val="24"/>
        </w:rPr>
        <w:t xml:space="preserve"> Papp Gábor polgármester</w:t>
      </w:r>
    </w:p>
    <w:p w:rsidR="008B2F7F" w:rsidRPr="009460C3" w:rsidRDefault="008B2F7F" w:rsidP="008B2F7F">
      <w:pPr>
        <w:jc w:val="both"/>
        <w:rPr>
          <w:sz w:val="24"/>
          <w:szCs w:val="24"/>
        </w:rPr>
      </w:pPr>
    </w:p>
    <w:p w:rsidR="008B2F7F" w:rsidRPr="009460C3" w:rsidRDefault="008B2F7F" w:rsidP="008B2F7F">
      <w:pPr>
        <w:jc w:val="both"/>
        <w:rPr>
          <w:sz w:val="24"/>
          <w:szCs w:val="24"/>
        </w:rPr>
      </w:pPr>
    </w:p>
    <w:p w:rsidR="008B2F7F" w:rsidRPr="009460C3" w:rsidRDefault="008B2F7F" w:rsidP="008B2F7F">
      <w:pPr>
        <w:autoSpaceDE w:val="0"/>
        <w:autoSpaceDN w:val="0"/>
        <w:adjustRightInd w:val="0"/>
        <w:jc w:val="both"/>
        <w:rPr>
          <w:color w:val="00B0F0"/>
          <w:sz w:val="24"/>
          <w:szCs w:val="24"/>
        </w:rPr>
      </w:pPr>
      <w:r w:rsidRPr="009460C3">
        <w:rPr>
          <w:b/>
          <w:sz w:val="24"/>
          <w:szCs w:val="24"/>
        </w:rPr>
        <w:t>Készítette:</w:t>
      </w:r>
      <w:r w:rsidRPr="009460C3">
        <w:rPr>
          <w:sz w:val="24"/>
          <w:szCs w:val="24"/>
        </w:rPr>
        <w:t xml:space="preserve"> </w:t>
      </w:r>
      <w:r w:rsidR="006F08A1" w:rsidRPr="009460C3">
        <w:rPr>
          <w:sz w:val="24"/>
          <w:szCs w:val="24"/>
        </w:rPr>
        <w:t xml:space="preserve">Szűrösné Németh Hajnalka adó ügyintéző </w:t>
      </w:r>
    </w:p>
    <w:p w:rsidR="008B2F7F" w:rsidRPr="009460C3" w:rsidRDefault="008B2F7F" w:rsidP="008B2F7F">
      <w:pPr>
        <w:autoSpaceDE w:val="0"/>
        <w:autoSpaceDN w:val="0"/>
        <w:adjustRightInd w:val="0"/>
        <w:jc w:val="both"/>
        <w:rPr>
          <w:sz w:val="24"/>
          <w:szCs w:val="24"/>
        </w:rPr>
      </w:pPr>
    </w:p>
    <w:p w:rsidR="008B2F7F" w:rsidRPr="009460C3" w:rsidRDefault="008B2F7F" w:rsidP="008B2F7F">
      <w:pPr>
        <w:rPr>
          <w:sz w:val="24"/>
          <w:szCs w:val="24"/>
        </w:rPr>
      </w:pPr>
    </w:p>
    <w:p w:rsidR="008B2F7F" w:rsidRPr="009460C3" w:rsidRDefault="008B2F7F" w:rsidP="008B2F7F">
      <w:pPr>
        <w:autoSpaceDE w:val="0"/>
        <w:autoSpaceDN w:val="0"/>
        <w:adjustRightInd w:val="0"/>
        <w:jc w:val="both"/>
        <w:rPr>
          <w:color w:val="00B0F0"/>
          <w:sz w:val="24"/>
          <w:szCs w:val="24"/>
        </w:rPr>
      </w:pPr>
      <w:r w:rsidRPr="009460C3">
        <w:rPr>
          <w:b/>
          <w:sz w:val="24"/>
          <w:szCs w:val="24"/>
        </w:rPr>
        <w:t>Megtárgyalta</w:t>
      </w:r>
      <w:r w:rsidR="005049DA" w:rsidRPr="009460C3">
        <w:rPr>
          <w:b/>
          <w:sz w:val="24"/>
          <w:szCs w:val="24"/>
        </w:rPr>
        <w:t>:</w:t>
      </w:r>
      <w:r w:rsidR="005049DA" w:rsidRPr="009460C3">
        <w:rPr>
          <w:sz w:val="24"/>
          <w:szCs w:val="24"/>
        </w:rPr>
        <w:t xml:space="preserve"> Pénzügyi</w:t>
      </w:r>
      <w:r w:rsidR="00614DB1" w:rsidRPr="009460C3">
        <w:rPr>
          <w:sz w:val="24"/>
          <w:szCs w:val="24"/>
        </w:rPr>
        <w:t xml:space="preserve">, Turisztikai és Városfejlesztési Bizottság </w:t>
      </w:r>
    </w:p>
    <w:p w:rsidR="008B2F7F" w:rsidRPr="009460C3" w:rsidRDefault="00382886" w:rsidP="008B2F7F">
      <w:pPr>
        <w:rPr>
          <w:sz w:val="24"/>
          <w:szCs w:val="24"/>
        </w:rPr>
      </w:pPr>
      <w:r w:rsidRPr="009460C3">
        <w:rPr>
          <w:sz w:val="24"/>
          <w:szCs w:val="24"/>
        </w:rPr>
        <w:t xml:space="preserve">                        Jogi- Ügyrendi, Szociális Bizottság</w:t>
      </w:r>
    </w:p>
    <w:p w:rsidR="008B2F7F" w:rsidRPr="009460C3" w:rsidRDefault="008B2F7F" w:rsidP="008B2F7F">
      <w:pPr>
        <w:rPr>
          <w:sz w:val="24"/>
          <w:szCs w:val="24"/>
        </w:rPr>
      </w:pPr>
    </w:p>
    <w:p w:rsidR="008B2F7F" w:rsidRPr="009460C3" w:rsidRDefault="008B2F7F" w:rsidP="008B2F7F">
      <w:pPr>
        <w:autoSpaceDE w:val="0"/>
        <w:autoSpaceDN w:val="0"/>
        <w:adjustRightInd w:val="0"/>
        <w:jc w:val="both"/>
        <w:rPr>
          <w:sz w:val="24"/>
          <w:szCs w:val="24"/>
        </w:rPr>
      </w:pPr>
      <w:r w:rsidRPr="009460C3">
        <w:rPr>
          <w:b/>
          <w:sz w:val="24"/>
          <w:szCs w:val="24"/>
        </w:rPr>
        <w:t>Törvényességi szempontból ellenőrizte</w:t>
      </w:r>
      <w:r w:rsidR="005049DA" w:rsidRPr="009460C3">
        <w:rPr>
          <w:b/>
          <w:sz w:val="24"/>
          <w:szCs w:val="24"/>
        </w:rPr>
        <w:t>:</w:t>
      </w:r>
      <w:r w:rsidR="005049DA" w:rsidRPr="009460C3">
        <w:rPr>
          <w:sz w:val="24"/>
          <w:szCs w:val="24"/>
        </w:rPr>
        <w:t xml:space="preserve"> dr.</w:t>
      </w:r>
      <w:r w:rsidRPr="009460C3">
        <w:rPr>
          <w:sz w:val="24"/>
          <w:szCs w:val="24"/>
        </w:rPr>
        <w:t xml:space="preserve"> Tüske Róbert jegyző</w:t>
      </w:r>
    </w:p>
    <w:p w:rsidR="008B2F7F" w:rsidRPr="009460C3" w:rsidRDefault="008B2F7F" w:rsidP="008B2F7F">
      <w:pPr>
        <w:rPr>
          <w:sz w:val="24"/>
          <w:szCs w:val="24"/>
        </w:rPr>
      </w:pPr>
    </w:p>
    <w:p w:rsidR="008B2F7F" w:rsidRPr="009460C3" w:rsidRDefault="008B2F7F" w:rsidP="008B2F7F">
      <w:pPr>
        <w:rPr>
          <w:sz w:val="24"/>
          <w:szCs w:val="24"/>
        </w:rPr>
      </w:pPr>
    </w:p>
    <w:p w:rsidR="008B2F7F" w:rsidRPr="009460C3" w:rsidRDefault="008B2F7F" w:rsidP="008B2F7F">
      <w:pPr>
        <w:rPr>
          <w:sz w:val="24"/>
          <w:szCs w:val="24"/>
        </w:rPr>
      </w:pPr>
    </w:p>
    <w:p w:rsidR="008B2F7F" w:rsidRPr="009460C3" w:rsidRDefault="008B2F7F" w:rsidP="008B2F7F">
      <w:pPr>
        <w:rPr>
          <w:sz w:val="24"/>
          <w:szCs w:val="24"/>
        </w:rPr>
      </w:pPr>
    </w:p>
    <w:p w:rsidR="008B2F7F" w:rsidRPr="009460C3" w:rsidRDefault="008B2F7F" w:rsidP="008B2F7F">
      <w:pPr>
        <w:rPr>
          <w:sz w:val="24"/>
          <w:szCs w:val="24"/>
        </w:rPr>
      </w:pPr>
      <w:r w:rsidRPr="009460C3">
        <w:rPr>
          <w:sz w:val="24"/>
          <w:szCs w:val="24"/>
        </w:rPr>
        <w:tab/>
      </w:r>
      <w:r w:rsidRPr="009460C3">
        <w:rPr>
          <w:sz w:val="24"/>
          <w:szCs w:val="24"/>
        </w:rPr>
        <w:tab/>
      </w:r>
    </w:p>
    <w:p w:rsidR="008B2F7F" w:rsidRPr="009460C3" w:rsidRDefault="007F1897" w:rsidP="008B2F7F">
      <w:pPr>
        <w:tabs>
          <w:tab w:val="center" w:pos="7797"/>
        </w:tabs>
        <w:rPr>
          <w:sz w:val="24"/>
          <w:szCs w:val="24"/>
        </w:rPr>
      </w:pPr>
      <w:r w:rsidRPr="009460C3">
        <w:rPr>
          <w:sz w:val="24"/>
          <w:szCs w:val="24"/>
        </w:rPr>
        <w:tab/>
        <w:t>Papp Gábor</w:t>
      </w:r>
    </w:p>
    <w:p w:rsidR="008B2F7F" w:rsidRPr="009460C3" w:rsidRDefault="008B2F7F" w:rsidP="008B2F7F">
      <w:pPr>
        <w:rPr>
          <w:sz w:val="24"/>
          <w:szCs w:val="24"/>
        </w:rPr>
      </w:pPr>
      <w:r w:rsidRPr="009460C3">
        <w:rPr>
          <w:sz w:val="24"/>
          <w:szCs w:val="24"/>
        </w:rPr>
        <w:tab/>
      </w:r>
      <w:r w:rsidRPr="009460C3">
        <w:rPr>
          <w:sz w:val="24"/>
          <w:szCs w:val="24"/>
        </w:rPr>
        <w:tab/>
      </w:r>
      <w:r w:rsidRPr="009460C3">
        <w:rPr>
          <w:sz w:val="24"/>
          <w:szCs w:val="24"/>
        </w:rPr>
        <w:tab/>
      </w:r>
      <w:r w:rsidRPr="009460C3">
        <w:rPr>
          <w:sz w:val="24"/>
          <w:szCs w:val="24"/>
        </w:rPr>
        <w:tab/>
      </w:r>
      <w:r w:rsidRPr="009460C3">
        <w:rPr>
          <w:sz w:val="24"/>
          <w:szCs w:val="24"/>
        </w:rPr>
        <w:tab/>
      </w:r>
      <w:r w:rsidRPr="009460C3">
        <w:rPr>
          <w:sz w:val="24"/>
          <w:szCs w:val="24"/>
        </w:rPr>
        <w:tab/>
      </w:r>
      <w:r w:rsidRPr="009460C3">
        <w:rPr>
          <w:sz w:val="24"/>
          <w:szCs w:val="24"/>
        </w:rPr>
        <w:tab/>
      </w:r>
      <w:r w:rsidRPr="009460C3">
        <w:rPr>
          <w:sz w:val="24"/>
          <w:szCs w:val="24"/>
        </w:rPr>
        <w:tab/>
      </w:r>
      <w:r w:rsidRPr="009460C3">
        <w:rPr>
          <w:sz w:val="24"/>
          <w:szCs w:val="24"/>
        </w:rPr>
        <w:tab/>
        <w:t xml:space="preserve">           </w:t>
      </w:r>
      <w:proofErr w:type="gramStart"/>
      <w:r w:rsidR="00A73B93" w:rsidRPr="009460C3">
        <w:rPr>
          <w:sz w:val="24"/>
          <w:szCs w:val="24"/>
        </w:rPr>
        <w:t>p</w:t>
      </w:r>
      <w:r w:rsidR="005049DA" w:rsidRPr="009460C3">
        <w:rPr>
          <w:sz w:val="24"/>
          <w:szCs w:val="24"/>
        </w:rPr>
        <w:t>olgármester</w:t>
      </w:r>
      <w:proofErr w:type="gramEnd"/>
    </w:p>
    <w:p w:rsidR="008B2F7F" w:rsidRPr="009460C3" w:rsidRDefault="008B2F7F" w:rsidP="00327EF2">
      <w:pPr>
        <w:jc w:val="both"/>
        <w:rPr>
          <w:sz w:val="24"/>
          <w:szCs w:val="24"/>
        </w:rPr>
      </w:pPr>
      <w:r w:rsidRPr="009460C3">
        <w:rPr>
          <w:sz w:val="24"/>
          <w:szCs w:val="24"/>
        </w:rPr>
        <w:br w:type="page"/>
      </w:r>
    </w:p>
    <w:p w:rsidR="008B2F7F" w:rsidRDefault="00AA4379" w:rsidP="008B2F7F">
      <w:pPr>
        <w:jc w:val="center"/>
        <w:rPr>
          <w:b/>
          <w:sz w:val="24"/>
          <w:szCs w:val="24"/>
        </w:rPr>
      </w:pPr>
      <w:r>
        <w:rPr>
          <w:b/>
          <w:sz w:val="24"/>
          <w:szCs w:val="24"/>
        </w:rPr>
        <w:lastRenderedPageBreak/>
        <w:t>1</w:t>
      </w:r>
      <w:r w:rsidR="008B2F7F" w:rsidRPr="001E537C">
        <w:rPr>
          <w:b/>
          <w:sz w:val="24"/>
          <w:szCs w:val="24"/>
        </w:rPr>
        <w:t>.</w:t>
      </w:r>
    </w:p>
    <w:p w:rsidR="008B2F7F" w:rsidRDefault="008B2F7F" w:rsidP="008B2F7F">
      <w:pPr>
        <w:jc w:val="center"/>
        <w:rPr>
          <w:b/>
          <w:sz w:val="24"/>
          <w:szCs w:val="24"/>
        </w:rPr>
      </w:pPr>
    </w:p>
    <w:p w:rsidR="008B2F7F" w:rsidRDefault="008B2F7F" w:rsidP="008B2F7F">
      <w:pPr>
        <w:jc w:val="center"/>
        <w:rPr>
          <w:b/>
          <w:sz w:val="24"/>
          <w:szCs w:val="24"/>
        </w:rPr>
      </w:pPr>
    </w:p>
    <w:p w:rsidR="008B2F7F" w:rsidRDefault="008B2F7F" w:rsidP="008B2F7F">
      <w:pPr>
        <w:jc w:val="center"/>
        <w:rPr>
          <w:b/>
          <w:sz w:val="24"/>
          <w:szCs w:val="24"/>
        </w:rPr>
      </w:pPr>
      <w:r>
        <w:rPr>
          <w:b/>
          <w:sz w:val="24"/>
          <w:szCs w:val="24"/>
        </w:rPr>
        <w:t>TÁRGY ÉS TÉNYÁLLÁS ISMERTETÉSE</w:t>
      </w:r>
    </w:p>
    <w:p w:rsidR="008B2F7F" w:rsidRDefault="008B2F7F" w:rsidP="00327EF2">
      <w:pPr>
        <w:jc w:val="both"/>
      </w:pPr>
    </w:p>
    <w:p w:rsidR="007F1897" w:rsidRPr="006C248F" w:rsidRDefault="007F1897" w:rsidP="00327EF2">
      <w:pPr>
        <w:jc w:val="both"/>
        <w:rPr>
          <w:b/>
        </w:rPr>
      </w:pPr>
      <w:r w:rsidRPr="006C248F">
        <w:rPr>
          <w:b/>
        </w:rPr>
        <w:t>Tisztelt Képviselő-testület!</w:t>
      </w:r>
    </w:p>
    <w:p w:rsidR="007F1897" w:rsidRDefault="007F1897" w:rsidP="00327EF2">
      <w:pPr>
        <w:jc w:val="both"/>
      </w:pPr>
    </w:p>
    <w:p w:rsidR="00782D88" w:rsidRDefault="00327EF2" w:rsidP="00327EF2">
      <w:pPr>
        <w:jc w:val="both"/>
      </w:pPr>
      <w:r>
        <w:t>Az adózással összefüggő egyes törvények módosításáról szóló 2015. évi LXXI. törvény 36. és 37. §</w:t>
      </w:r>
      <w:proofErr w:type="spellStart"/>
      <w:r>
        <w:t>-a</w:t>
      </w:r>
      <w:proofErr w:type="spellEnd"/>
      <w:r>
        <w:t xml:space="preserve"> 2016. január 1-jei hatállyal módosította a helyi adókról szóló 1990. évi C. törvény (a továbbiakban: </w:t>
      </w:r>
      <w:r w:rsidR="004B0011">
        <w:t>H</w:t>
      </w:r>
      <w:r>
        <w:t>tv.) 39/C. §</w:t>
      </w:r>
      <w:proofErr w:type="spellStart"/>
      <w:r>
        <w:t>-át</w:t>
      </w:r>
      <w:proofErr w:type="spellEnd"/>
      <w:r>
        <w:t xml:space="preserve"> és 2016. évtől lehetővé teszi, hogy a települési önkormányzatok rendeletükben a jelenlegi szabályozásnál magasabb adóelőnyt biztosítsanak a háziorvosi és védőnői tevékenységet folytató vállalkozók számára.</w:t>
      </w:r>
    </w:p>
    <w:p w:rsidR="00327EF2" w:rsidRDefault="00327EF2" w:rsidP="00327EF2">
      <w:pPr>
        <w:jc w:val="both"/>
      </w:pPr>
      <w:r>
        <w:t xml:space="preserve">Az önkormányzat rendeletében jogosult a háziorvos, védőnő vállalkozó számára mentességet, kedvezményt megállapítani feltéve, ha annak vállalkozási szintű iparűzési adóalapja az adóévben a 20 millió forintot nem haladja meg. Az adómentességnek, adókedvezménynek valamennyi háziorvos, védőnő vállalkozó számára azonosnak kell lennie. </w:t>
      </w:r>
    </w:p>
    <w:p w:rsidR="00327EF2" w:rsidRDefault="00327EF2" w:rsidP="00327EF2">
      <w:pPr>
        <w:jc w:val="both"/>
      </w:pPr>
    </w:p>
    <w:p w:rsidR="000453EE" w:rsidRDefault="000453EE" w:rsidP="00327EF2">
      <w:pPr>
        <w:jc w:val="both"/>
      </w:pPr>
      <w:r>
        <w:t>A Htv. új 52. § 23. pontja meghatározza a háziorvos, védőnő vállalkozó fogalmát. Eszerint háziorvos, védőnő vállalkozó az a vállalkozó, aki/amely – gazdálkodó szervezetként vagy egyéni vállalkozóként – külön jogszabály alapján háziorvosi, házi gyermekorvosi, fogorvosi alapellátási vagy védőnői tevékenységet végez és nettó árbevételének legalább 80 %-</w:t>
      </w:r>
      <w:r w:rsidR="005049DA">
        <w:t>a az</w:t>
      </w:r>
      <w:r>
        <w:t xml:space="preserve"> e tevékenység (tevékenységek) végzésére vonatkozó, az Országos Egészségbiztosítási Pénztárral kötött finanszírozási szerződés alapján az Egészségbiztosítási alapból származik. </w:t>
      </w:r>
    </w:p>
    <w:p w:rsidR="000453EE" w:rsidRDefault="000453EE" w:rsidP="00327EF2">
      <w:pPr>
        <w:jc w:val="both"/>
      </w:pPr>
    </w:p>
    <w:p w:rsidR="00412AB3" w:rsidRPr="00614DB1" w:rsidRDefault="00412AB3" w:rsidP="00382886">
      <w:pPr>
        <w:jc w:val="both"/>
      </w:pPr>
      <w:r w:rsidRPr="00614DB1">
        <w:t>A háziorvosok 2016. március 4-én kérelemmel fordultak hozzám és a Képviselő</w:t>
      </w:r>
      <w:r w:rsidR="00AA4379">
        <w:t>-</w:t>
      </w:r>
      <w:r w:rsidRPr="00614DB1">
        <w:t>testület felé, hogy az iparűzési adó fizetése alól mentességet kapjanak. Beadványukban indokolásként előadták, hogy a környékbeli önkormányzatok már biztosították a törvény</w:t>
      </w:r>
      <w:r w:rsidR="00866FF2">
        <w:t xml:space="preserve">i </w:t>
      </w:r>
      <w:r w:rsidRPr="00614DB1">
        <w:t xml:space="preserve">adómentességet. </w:t>
      </w:r>
    </w:p>
    <w:p w:rsidR="00614DB1" w:rsidRPr="00614DB1" w:rsidRDefault="00614DB1" w:rsidP="00382886">
      <w:pPr>
        <w:jc w:val="both"/>
      </w:pPr>
      <w:r w:rsidRPr="00614DB1">
        <w:t xml:space="preserve"> </w:t>
      </w:r>
    </w:p>
    <w:p w:rsidR="000453EE" w:rsidRPr="00614DB1" w:rsidRDefault="007F1897" w:rsidP="00382886">
      <w:pPr>
        <w:jc w:val="both"/>
      </w:pPr>
      <w:r w:rsidRPr="00614DB1">
        <w:t>A</w:t>
      </w:r>
      <w:r w:rsidR="000453EE" w:rsidRPr="00614DB1">
        <w:t xml:space="preserve"> </w:t>
      </w:r>
      <w:r w:rsidRPr="00614DB1">
        <w:t xml:space="preserve">kezdeményezés alapján javaslom, hogy </w:t>
      </w:r>
      <w:r w:rsidR="000453EE" w:rsidRPr="00614DB1">
        <w:t>a</w:t>
      </w:r>
      <w:r w:rsidR="006D6C26" w:rsidRPr="00614DB1">
        <w:t xml:space="preserve"> </w:t>
      </w:r>
      <w:r w:rsidR="005049DA" w:rsidRPr="00614DB1">
        <w:t>Képviselő</w:t>
      </w:r>
      <w:r w:rsidR="00AA4379">
        <w:t>-</w:t>
      </w:r>
      <w:r w:rsidR="005049DA" w:rsidRPr="00614DB1">
        <w:t>testület 2016.</w:t>
      </w:r>
      <w:r w:rsidR="000453EE" w:rsidRPr="00614DB1">
        <w:t xml:space="preserve"> </w:t>
      </w:r>
      <w:r w:rsidR="007418B2" w:rsidRPr="00614DB1">
        <w:t xml:space="preserve">július 1-jétől </w:t>
      </w:r>
      <w:r w:rsidR="006D6C26" w:rsidRPr="00614DB1">
        <w:t xml:space="preserve">mentesítse a város háziorvosait </w:t>
      </w:r>
      <w:r w:rsidR="005049DA" w:rsidRPr="00614DB1">
        <w:t>a helyi</w:t>
      </w:r>
      <w:r w:rsidR="000453EE" w:rsidRPr="00614DB1">
        <w:t xml:space="preserve"> iparűzési adó</w:t>
      </w:r>
      <w:r w:rsidR="00614DB1" w:rsidRPr="00614DB1">
        <w:t xml:space="preserve"> megfizetése alól.</w:t>
      </w:r>
      <w:r w:rsidR="000453EE" w:rsidRPr="00614DB1">
        <w:t xml:space="preserve"> Az önkormányzati adóhatóság illetékességi területén védőnő vállalkozó adózóról tudomásunk nincs. </w:t>
      </w:r>
    </w:p>
    <w:p w:rsidR="000453EE" w:rsidRDefault="000453EE" w:rsidP="00382886">
      <w:pPr>
        <w:jc w:val="both"/>
      </w:pPr>
      <w:r>
        <w:t xml:space="preserve">Az így biztosított helyi adóelőny évente és vállalkozónként akár maximálisan 400.000 forint is lehet, mely jelentős adómegtakarítást jelent a vállalkozó háziorvosnak. </w:t>
      </w:r>
    </w:p>
    <w:p w:rsidR="000453EE" w:rsidRDefault="000453EE" w:rsidP="00382886">
      <w:pPr>
        <w:jc w:val="both"/>
      </w:pPr>
    </w:p>
    <w:p w:rsidR="00970E69" w:rsidRDefault="000453EE" w:rsidP="00327EF2">
      <w:pPr>
        <w:jc w:val="both"/>
        <w:rPr>
          <w:color w:val="00B0F0"/>
        </w:rPr>
      </w:pPr>
      <w:r>
        <w:t xml:space="preserve">A 2014. </w:t>
      </w:r>
      <w:r w:rsidR="00970E69">
        <w:t>évi helyi iparűzési adóbevallá</w:t>
      </w:r>
      <w:r w:rsidR="00953A76">
        <w:t xml:space="preserve">sok adatai alapján </w:t>
      </w:r>
      <w:r w:rsidR="007F1897" w:rsidRPr="00412AB3">
        <w:t>6 vállalkozás lehet jogosult a mentesség igénybevételére.  A mentesség biztosítása esetén az éves iparűzési adóbevétel mintegy 0,3 %-a esne ki a költségvetésből</w:t>
      </w:r>
      <w:r w:rsidR="007F1897" w:rsidRPr="007F1897">
        <w:rPr>
          <w:color w:val="00B0F0"/>
        </w:rPr>
        <w:t>.</w:t>
      </w:r>
      <w:r w:rsidR="007F1897">
        <w:rPr>
          <w:color w:val="00B0F0"/>
        </w:rPr>
        <w:t xml:space="preserve"> </w:t>
      </w:r>
    </w:p>
    <w:p w:rsidR="00412AB3" w:rsidRDefault="00412AB3" w:rsidP="00327EF2">
      <w:pPr>
        <w:jc w:val="both"/>
      </w:pPr>
    </w:p>
    <w:p w:rsidR="00970E69" w:rsidRPr="007418B2" w:rsidRDefault="00484B98" w:rsidP="00327EF2">
      <w:pPr>
        <w:jc w:val="both"/>
        <w:rPr>
          <w:strike/>
        </w:rPr>
      </w:pPr>
      <w:r>
        <w:t>Bár a javaslat támogatása adóbevétel kieséssel jár, ez a teljes helyi iparűzési adóbevétel tekintetében számottevő csökkenést nem jelent. A bevallások a</w:t>
      </w:r>
      <w:r w:rsidR="00585F38">
        <w:t>lapján az adókiesés éves szinten</w:t>
      </w:r>
      <w:r>
        <w:t xml:space="preserve"> kb. </w:t>
      </w:r>
      <w:r w:rsidR="00585F38">
        <w:t>1</w:t>
      </w:r>
      <w:r>
        <w:t xml:space="preserve"> millió forint. Ez az összeg csupán várható adókiesés nagyságrendjét szemlélteti, mivel arra vonatkozóan nem rendelkezünk adatokkal, hogy a háziorvos vállalkozó adózóink nettó árbevételének mekkora hányada származik az OEP-től. </w:t>
      </w:r>
      <w:r w:rsidRPr="007418B2">
        <w:rPr>
          <w:strike/>
        </w:rPr>
        <w:t xml:space="preserve"> </w:t>
      </w:r>
    </w:p>
    <w:p w:rsidR="00484B98" w:rsidRPr="007418B2" w:rsidRDefault="00484B98" w:rsidP="00327EF2">
      <w:pPr>
        <w:jc w:val="both"/>
        <w:rPr>
          <w:strike/>
        </w:rPr>
      </w:pPr>
    </w:p>
    <w:p w:rsidR="00484B98" w:rsidRDefault="003B65C6" w:rsidP="00327EF2">
      <w:pPr>
        <w:jc w:val="both"/>
      </w:pPr>
      <w:r>
        <w:t xml:space="preserve">A Htv. 2016.01.01-től hatályba lépő 39/C. § (5) bekezdése alapján az (1)-(4) bekezdése szerinti mentesség, kedvezmény csekély összegű (de minimis) támogatásnak minősül, amely az Európai Unió működéséről szóló szerződés 107. és 108. cikkének a csekély összegű támogatásokra való alkalmazásáról szóló 2013. december 18-i 1407/2013/EU bizottsági rendelet szabályaival összhangban nyújtható. </w:t>
      </w:r>
    </w:p>
    <w:p w:rsidR="003B65C6" w:rsidRDefault="003B65C6" w:rsidP="00327EF2">
      <w:pPr>
        <w:jc w:val="both"/>
      </w:pPr>
    </w:p>
    <w:p w:rsidR="003B65C6" w:rsidRDefault="003B65C6" w:rsidP="00327EF2">
      <w:pPr>
        <w:jc w:val="both"/>
      </w:pPr>
      <w:r>
        <w:t xml:space="preserve">Így a rendelet tervezetben a háziorvos vállalkozó számára adómentesség formájában nyújtott támogatás, valamint a jelenleg hatályos helyi önkormányzati rendelet alapján azon vállalkozó részére biztosított 25 %-os adókedvezmény, akinek vállalkozási szintű adóalapja nem haladja meg a 2,5 millió Ft-ot, csekély összegű (de minimis) támogatásnak minősül. </w:t>
      </w:r>
    </w:p>
    <w:p w:rsidR="003B65C6" w:rsidRDefault="003B65C6" w:rsidP="00327EF2">
      <w:pPr>
        <w:jc w:val="both"/>
      </w:pPr>
    </w:p>
    <w:p w:rsidR="003B65C6" w:rsidRDefault="003B65C6" w:rsidP="00327EF2">
      <w:pPr>
        <w:jc w:val="both"/>
      </w:pPr>
      <w:r>
        <w:t>Az európai uniós versenyjogi értelemben vett állami támogatásokkal kapcsolatos eljárásról és a regionális támogatási térképről szóló 37/2011. (III.22.) Korm. rendelet 7. § (1) bekezdése alapján a helyi adókról szóló 4/2010. (II.10.) önkormányzati rendelet módosítás tervezetét megküldtük a Miniszterelnökség Támogatást Vizsgáló Iroda részére véleményezés céljából.</w:t>
      </w:r>
    </w:p>
    <w:p w:rsidR="00D519DE" w:rsidRDefault="00D519DE" w:rsidP="00327EF2">
      <w:pPr>
        <w:jc w:val="both"/>
      </w:pPr>
    </w:p>
    <w:p w:rsidR="003B65C6" w:rsidRPr="00382886" w:rsidRDefault="00D519DE" w:rsidP="00327EF2">
      <w:pPr>
        <w:jc w:val="both"/>
      </w:pPr>
      <w:r w:rsidRPr="00382886">
        <w:t xml:space="preserve">A Miniszterelnökség Támogatásokat Vizsgáló Iroda TVI/4800/2016/DM/1/01 számú állásfoglalásában megállapította, hogy </w:t>
      </w:r>
      <w:r w:rsidR="00482AF6" w:rsidRPr="00382886">
        <w:t xml:space="preserve">a tervezet alapján nyújtható támogatás csekély összegű (de minimis) támogatásnak minősül és összeegyeztethető az Európai Unió működéséről szóló szerződés 107. és 108. cikkének a csekély összegű támogatásokra való alkalmazásáról szóló, 2013. december 18-i 1407/2013/EU bizottsági rendelettel. </w:t>
      </w:r>
    </w:p>
    <w:p w:rsidR="00482AF6" w:rsidRDefault="00482AF6" w:rsidP="00327EF2">
      <w:pPr>
        <w:jc w:val="both"/>
      </w:pPr>
    </w:p>
    <w:p w:rsidR="00327EF2" w:rsidRDefault="003B65C6" w:rsidP="00327EF2">
      <w:pPr>
        <w:jc w:val="both"/>
      </w:pPr>
      <w:r>
        <w:t xml:space="preserve">Tekintettel arra, hogy a </w:t>
      </w:r>
      <w:r w:rsidR="004204F1">
        <w:t>H</w:t>
      </w:r>
      <w:r>
        <w:t>tv. 39/C § (5) bekezdése szerint biztosítható adókedvezmény, illetve adómentesség csekély összegű (de minimis) támogatásnak minősül</w:t>
      </w:r>
      <w:r w:rsidR="004204F1">
        <w:t xml:space="preserve">, </w:t>
      </w:r>
      <w:r>
        <w:t xml:space="preserve">a </w:t>
      </w:r>
      <w:r w:rsidR="004204F1">
        <w:t xml:space="preserve">helyi </w:t>
      </w:r>
      <w:r>
        <w:t xml:space="preserve">adóról szóló rendelet tervezet szövegébe be kell építeni az 1407/2013/EU bizottsági rendelet </w:t>
      </w:r>
      <w:r w:rsidR="004204F1">
        <w:t xml:space="preserve">bizonyos rendelkezéseit, illetve az ún. de minimis nyilatkozatnak és a csekély összegű támogatásról szóló igazolásnak a rendelet tervezet mellékletét kell képeznie. </w:t>
      </w:r>
    </w:p>
    <w:p w:rsidR="006D6C26" w:rsidRDefault="006D6C26" w:rsidP="006D6C26">
      <w:pPr>
        <w:suppressAutoHyphens/>
        <w:jc w:val="both"/>
        <w:rPr>
          <w:rFonts w:eastAsia="Times New Roman"/>
          <w:szCs w:val="20"/>
          <w:lang w:eastAsia="zh-CN"/>
        </w:rPr>
      </w:pPr>
    </w:p>
    <w:p w:rsidR="006D6C26" w:rsidRPr="006D6C26" w:rsidRDefault="006D6C26" w:rsidP="006D6C26">
      <w:pPr>
        <w:suppressAutoHyphens/>
        <w:jc w:val="both"/>
        <w:rPr>
          <w:rFonts w:ascii="Times New Roman" w:eastAsia="Times New Roman" w:hAnsi="Times New Roman" w:cs="Times New Roman"/>
          <w:sz w:val="20"/>
          <w:szCs w:val="20"/>
          <w:lang w:eastAsia="zh-CN"/>
        </w:rPr>
      </w:pPr>
      <w:r w:rsidRPr="006D6C26">
        <w:rPr>
          <w:rFonts w:eastAsia="Times New Roman"/>
          <w:szCs w:val="20"/>
          <w:lang w:eastAsia="zh-CN"/>
        </w:rPr>
        <w:t>A szabályozás szerint a k</w:t>
      </w:r>
      <w:r w:rsidRPr="006D6C26">
        <w:rPr>
          <w:rFonts w:eastAsia="Times New Roman"/>
          <w:lang w:eastAsia="zh-CN"/>
        </w:rPr>
        <w:t xml:space="preserve">edvezményezetteknek előzetesen május 31-ig, a bevallás benyújtási határidő előtt nyilatkozniuk kell az önkormányzati rendelet részévé váló „Nyilatkozaton” arról, hogy a folyó évben és az azt megelőző 2 években milyen csekély összegű támogatásban részesültek. </w:t>
      </w:r>
      <w:r w:rsidRPr="006D6C26">
        <w:rPr>
          <w:rFonts w:eastAsia="Times New Roman"/>
          <w:bCs/>
          <w:lang w:eastAsia="zh-CN"/>
        </w:rPr>
        <w:t xml:space="preserve">A nyilatkozat hiányában nem vehető igénybe a mentesség, illetve kedvezmény. </w:t>
      </w:r>
      <w:r w:rsidRPr="006D6C26">
        <w:rPr>
          <w:rFonts w:eastAsia="Times New Roman"/>
          <w:lang w:eastAsia="zh-CN"/>
        </w:rPr>
        <w:t>Az adózónak a nyilatkozatot 10 évig meg kell őriznie.</w:t>
      </w:r>
    </w:p>
    <w:p w:rsidR="004204F1" w:rsidRDefault="004204F1" w:rsidP="00327EF2">
      <w:pPr>
        <w:jc w:val="both"/>
      </w:pPr>
    </w:p>
    <w:p w:rsidR="00E243CD" w:rsidRDefault="00E243CD" w:rsidP="00327EF2">
      <w:pPr>
        <w:jc w:val="both"/>
      </w:pPr>
      <w:r>
        <w:t>A gazdasági kamarákról szóló 1999. évi CXXI. törvény 12. § (1) bekezdés a) pontja alapján a gazdasági tárgyú előterjesztések és jogszabályok tervezeteit véleményeztetni kell Kereskedelmi és Iparkamara illetékes szervezetével. Az egyeztetés megtörtént, a Zala Megyei Kereskedelmi és Iparkamara Hévíz Térségi Szervezet véleményezési jogával élve, egyetértett és támogatta a rendelet módosítását.</w:t>
      </w:r>
    </w:p>
    <w:p w:rsidR="00E243CD" w:rsidRDefault="00E243CD" w:rsidP="00327EF2">
      <w:pPr>
        <w:jc w:val="both"/>
      </w:pPr>
    </w:p>
    <w:p w:rsidR="004204F1" w:rsidRDefault="004204F1" w:rsidP="00327EF2">
      <w:pPr>
        <w:jc w:val="both"/>
      </w:pPr>
      <w:r>
        <w:t>A jogalkotásról szóló 2010. évi CXXX. törvény 17. §</w:t>
      </w:r>
      <w:proofErr w:type="spellStart"/>
      <w:r>
        <w:t>-ában</w:t>
      </w:r>
      <w:proofErr w:type="spellEnd"/>
      <w:r>
        <w:t xml:space="preserve"> foglaltaknak megfelelően elkészült a rendelet tervezet előzetes hatásvizsgálata, amelyet az előterjesztés melléklete tartalmaz. </w:t>
      </w:r>
    </w:p>
    <w:p w:rsidR="004204F1" w:rsidRDefault="004204F1" w:rsidP="00327EF2">
      <w:pPr>
        <w:jc w:val="both"/>
      </w:pPr>
    </w:p>
    <w:p w:rsidR="006D6C26" w:rsidRDefault="006D6C26" w:rsidP="006D6C26">
      <w:pPr>
        <w:jc w:val="both"/>
        <w:rPr>
          <w:color w:val="0070C0"/>
        </w:rPr>
      </w:pPr>
      <w:r w:rsidRPr="006D6C26">
        <w:t>Kérem a Tisztelt Képviselő-testületet az előterjesztés megvitatására, és a rendelet-módosítás elfogadására. A rendeletalkotás minősített többséget igényel</w:t>
      </w:r>
      <w:r>
        <w:rPr>
          <w:color w:val="0070C0"/>
        </w:rPr>
        <w:t xml:space="preserve">. </w:t>
      </w:r>
    </w:p>
    <w:p w:rsidR="007418B2" w:rsidRPr="00412AB3" w:rsidRDefault="007418B2" w:rsidP="00327EF2">
      <w:pPr>
        <w:jc w:val="both"/>
      </w:pPr>
    </w:p>
    <w:p w:rsidR="004204F1" w:rsidRDefault="004204F1" w:rsidP="00327EF2">
      <w:pPr>
        <w:jc w:val="both"/>
      </w:pPr>
    </w:p>
    <w:p w:rsidR="00DB3963" w:rsidRPr="00633A16" w:rsidRDefault="00DB3963" w:rsidP="00DB3963">
      <w:pPr>
        <w:tabs>
          <w:tab w:val="left" w:pos="2865"/>
        </w:tabs>
        <w:jc w:val="center"/>
        <w:rPr>
          <w:b/>
        </w:rPr>
      </w:pPr>
      <w:r w:rsidRPr="00633A16">
        <w:rPr>
          <w:b/>
        </w:rPr>
        <w:t>Részletes indokolás</w:t>
      </w:r>
    </w:p>
    <w:p w:rsidR="00DB3963" w:rsidRDefault="00DB3963" w:rsidP="00DB3963">
      <w:pPr>
        <w:tabs>
          <w:tab w:val="left" w:pos="2865"/>
        </w:tabs>
        <w:jc w:val="both"/>
      </w:pPr>
    </w:p>
    <w:p w:rsidR="00DB3963" w:rsidRDefault="00DB3963" w:rsidP="00DB3963">
      <w:pPr>
        <w:tabs>
          <w:tab w:val="left" w:pos="2865"/>
        </w:tabs>
        <w:jc w:val="both"/>
      </w:pPr>
      <w:r>
        <w:t xml:space="preserve">1.§ </w:t>
      </w:r>
    </w:p>
    <w:p w:rsidR="009460C3" w:rsidRDefault="00DB3963" w:rsidP="00DB3963">
      <w:pPr>
        <w:jc w:val="both"/>
      </w:pPr>
      <w:r>
        <w:t>A rendelet-tervezet 1. §</w:t>
      </w:r>
      <w:proofErr w:type="spellStart"/>
      <w:r>
        <w:t>-</w:t>
      </w:r>
      <w:proofErr w:type="gramStart"/>
      <w:r>
        <w:t>a</w:t>
      </w:r>
      <w:proofErr w:type="spellEnd"/>
      <w:proofErr w:type="gramEnd"/>
      <w:r>
        <w:t xml:space="preserve"> adómentességet javasol a</w:t>
      </w:r>
      <w:r w:rsidRPr="00DB3963">
        <w:t xml:space="preserve"> </w:t>
      </w:r>
      <w:r>
        <w:t xml:space="preserve">háziorvos, védőnő vállalkozót, akinek a vállalkozási szintű adóalapja az adóévben a 20 millió forintot nem haladja meg. </w:t>
      </w:r>
    </w:p>
    <w:p w:rsidR="00DB3963" w:rsidRDefault="009E35B5" w:rsidP="00DB3963">
      <w:pPr>
        <w:jc w:val="both"/>
      </w:pPr>
      <w:r>
        <w:t>További bekezdéseibe</w:t>
      </w:r>
      <w:r w:rsidR="00A73B93">
        <w:t xml:space="preserve"> kötelező jelleggel</w:t>
      </w:r>
      <w:r>
        <w:t xml:space="preserve"> beépíti az 1407/2013/EU bizottsági rendelet bizonyos rendelkezéseit.</w:t>
      </w:r>
    </w:p>
    <w:p w:rsidR="00DB3963" w:rsidRDefault="00DB3963" w:rsidP="00DB3963">
      <w:pPr>
        <w:tabs>
          <w:tab w:val="left" w:pos="2865"/>
        </w:tabs>
        <w:jc w:val="both"/>
      </w:pPr>
      <w:r>
        <w:t xml:space="preserve">2. § </w:t>
      </w:r>
    </w:p>
    <w:p w:rsidR="00DB3963" w:rsidRDefault="00DB3963" w:rsidP="00DB3963">
      <w:pPr>
        <w:tabs>
          <w:tab w:val="left" w:pos="2865"/>
        </w:tabs>
        <w:jc w:val="both"/>
      </w:pPr>
      <w:r>
        <w:t>A rendelet hatálybalépéséről rendelkezik.</w:t>
      </w:r>
    </w:p>
    <w:p w:rsidR="004204F1" w:rsidRDefault="004204F1" w:rsidP="00327EF2">
      <w:pPr>
        <w:jc w:val="both"/>
      </w:pPr>
    </w:p>
    <w:p w:rsidR="00585F38" w:rsidRDefault="00866FF2" w:rsidP="00327EF2">
      <w:pPr>
        <w:jc w:val="both"/>
      </w:pPr>
      <w:r>
        <w:t xml:space="preserve"> </w:t>
      </w:r>
    </w:p>
    <w:p w:rsidR="00866FF2" w:rsidRDefault="00866FF2" w:rsidP="00327EF2">
      <w:pPr>
        <w:jc w:val="both"/>
      </w:pPr>
    </w:p>
    <w:p w:rsidR="00866FF2" w:rsidRDefault="00866FF2" w:rsidP="00327EF2">
      <w:pPr>
        <w:jc w:val="both"/>
      </w:pPr>
    </w:p>
    <w:p w:rsidR="00866FF2" w:rsidRDefault="00866FF2" w:rsidP="00327EF2">
      <w:pPr>
        <w:jc w:val="both"/>
      </w:pPr>
    </w:p>
    <w:p w:rsidR="00866FF2" w:rsidRDefault="00866FF2" w:rsidP="00327EF2">
      <w:pPr>
        <w:jc w:val="both"/>
      </w:pPr>
    </w:p>
    <w:p w:rsidR="00866FF2" w:rsidRDefault="00866FF2" w:rsidP="00327EF2">
      <w:pPr>
        <w:jc w:val="both"/>
      </w:pPr>
    </w:p>
    <w:p w:rsidR="00866FF2" w:rsidRDefault="00866FF2" w:rsidP="00327EF2">
      <w:pPr>
        <w:jc w:val="both"/>
      </w:pPr>
    </w:p>
    <w:p w:rsidR="00866FF2" w:rsidRDefault="00866FF2" w:rsidP="00327EF2">
      <w:pPr>
        <w:jc w:val="both"/>
      </w:pPr>
    </w:p>
    <w:p w:rsidR="00382886" w:rsidRDefault="00382886" w:rsidP="00327EF2">
      <w:pPr>
        <w:jc w:val="both"/>
      </w:pPr>
      <w:bookmarkStart w:id="0" w:name="_GoBack"/>
      <w:bookmarkEnd w:id="0"/>
    </w:p>
    <w:p w:rsidR="00AC54E8" w:rsidRDefault="00CF4F69" w:rsidP="00CF4F69">
      <w:pPr>
        <w:jc w:val="center"/>
        <w:rPr>
          <w:b/>
        </w:rPr>
      </w:pPr>
      <w:r>
        <w:rPr>
          <w:b/>
        </w:rPr>
        <w:t>Hévíz Város Önkormányzat Képviselő</w:t>
      </w:r>
      <w:r w:rsidR="00AA4379">
        <w:rPr>
          <w:b/>
        </w:rPr>
        <w:t>-</w:t>
      </w:r>
      <w:r>
        <w:rPr>
          <w:b/>
        </w:rPr>
        <w:t xml:space="preserve">testületének </w:t>
      </w:r>
    </w:p>
    <w:p w:rsidR="00CF4F69" w:rsidRDefault="00CF4F69" w:rsidP="00CF4F69">
      <w:pPr>
        <w:jc w:val="center"/>
        <w:rPr>
          <w:b/>
        </w:rPr>
      </w:pPr>
      <w:r>
        <w:rPr>
          <w:b/>
        </w:rPr>
        <w:t>……….. / 2016. (………) önkormányzati rendelete</w:t>
      </w:r>
    </w:p>
    <w:p w:rsidR="00CF4F69" w:rsidRDefault="00CF4F69" w:rsidP="00CF4F69">
      <w:pPr>
        <w:jc w:val="center"/>
        <w:rPr>
          <w:b/>
        </w:rPr>
      </w:pPr>
    </w:p>
    <w:p w:rsidR="00CF4F69" w:rsidRDefault="00CF4F69" w:rsidP="00CF4F69">
      <w:pPr>
        <w:jc w:val="center"/>
        <w:rPr>
          <w:b/>
        </w:rPr>
      </w:pPr>
      <w:r>
        <w:rPr>
          <w:b/>
        </w:rPr>
        <w:t>a helyi adókról szóló Hévíz Város Önkormányzat Képviselő</w:t>
      </w:r>
      <w:r w:rsidR="00AA4379">
        <w:rPr>
          <w:b/>
        </w:rPr>
        <w:t>-</w:t>
      </w:r>
      <w:r>
        <w:rPr>
          <w:b/>
        </w:rPr>
        <w:t xml:space="preserve">testületének 4/2010. (II. 10.) önkormányzati rendelet módosításáról </w:t>
      </w:r>
    </w:p>
    <w:p w:rsidR="00CF4F69" w:rsidRDefault="00CF4F69" w:rsidP="00CF4F69">
      <w:pPr>
        <w:jc w:val="center"/>
        <w:rPr>
          <w:b/>
        </w:rPr>
      </w:pPr>
    </w:p>
    <w:p w:rsidR="007418B2" w:rsidRPr="006F08A1" w:rsidRDefault="00CF4F69" w:rsidP="007418B2">
      <w:pPr>
        <w:jc w:val="both"/>
      </w:pPr>
      <w:r>
        <w:t>Hévíz Város Önkormányzatának Képviselő</w:t>
      </w:r>
      <w:r w:rsidR="00AA4379">
        <w:t>-</w:t>
      </w:r>
      <w:r>
        <w:t>t</w:t>
      </w:r>
      <w:r w:rsidR="005049DA">
        <w:t xml:space="preserve">estülete a helyi adókról szóló </w:t>
      </w:r>
      <w:r>
        <w:t>1990. évi C. törvény 1. § (1) bekezdésében kapott</w:t>
      </w:r>
      <w:r w:rsidR="007418B2">
        <w:t xml:space="preserve"> felhatalmazás alapján, </w:t>
      </w:r>
      <w:r w:rsidR="007418B2" w:rsidRPr="006F08A1">
        <w:t>Magyarország Alaptörvénye 32. cikk (2) bekezdésében foglalt feladatkörében eljárva a következőket rendeli el:</w:t>
      </w:r>
    </w:p>
    <w:p w:rsidR="007418B2" w:rsidRDefault="007418B2" w:rsidP="00CF4F69">
      <w:pPr>
        <w:jc w:val="both"/>
      </w:pPr>
    </w:p>
    <w:p w:rsidR="00CF4F69" w:rsidRDefault="00CF4F69" w:rsidP="00CF4F69">
      <w:pPr>
        <w:jc w:val="both"/>
      </w:pPr>
    </w:p>
    <w:p w:rsidR="00CF4F69" w:rsidRDefault="007418B2" w:rsidP="00CF4F69">
      <w:pPr>
        <w:jc w:val="both"/>
      </w:pPr>
      <w:r w:rsidRPr="006F08A1">
        <w:t xml:space="preserve">1. § </w:t>
      </w:r>
      <w:r>
        <w:t>A</w:t>
      </w:r>
      <w:r w:rsidR="00CF4F69">
        <w:t xml:space="preserve"> helyi </w:t>
      </w:r>
      <w:r w:rsidR="00616709">
        <w:t>a</w:t>
      </w:r>
      <w:r w:rsidR="00CF4F69">
        <w:t>dókról szóló 4/2010. (</w:t>
      </w:r>
      <w:r>
        <w:t>II. 10.) önkormányzati rendelet</w:t>
      </w:r>
      <w:r w:rsidR="00CF4F69">
        <w:t xml:space="preserve"> (a tová</w:t>
      </w:r>
      <w:r>
        <w:t xml:space="preserve">bbiakban: </w:t>
      </w:r>
      <w:proofErr w:type="spellStart"/>
      <w:r>
        <w:t>Ör</w:t>
      </w:r>
      <w:proofErr w:type="spellEnd"/>
      <w:r>
        <w:t>.</w:t>
      </w:r>
      <w:r w:rsidR="00CF4F69">
        <w:t>) 11. §</w:t>
      </w:r>
      <w:proofErr w:type="spellStart"/>
      <w:r w:rsidR="00CF4F69">
        <w:t>-a</w:t>
      </w:r>
      <w:proofErr w:type="spellEnd"/>
      <w:r w:rsidR="00CF4F69">
        <w:t xml:space="preserve"> helyébe az alábbi rendelkezés lép:</w:t>
      </w:r>
    </w:p>
    <w:p w:rsidR="00CF4F69" w:rsidRDefault="00CF4F69" w:rsidP="00CF4F69">
      <w:pPr>
        <w:jc w:val="both"/>
      </w:pPr>
    </w:p>
    <w:p w:rsidR="00CF4F69" w:rsidRPr="00CF4F69" w:rsidRDefault="00560AA4" w:rsidP="00CF4F69">
      <w:pPr>
        <w:jc w:val="center"/>
        <w:rPr>
          <w:b/>
        </w:rPr>
      </w:pPr>
      <w:r>
        <w:rPr>
          <w:b/>
        </w:rPr>
        <w:t>„</w:t>
      </w:r>
      <w:r w:rsidR="00CF4F69" w:rsidRPr="00CF4F69">
        <w:rPr>
          <w:b/>
        </w:rPr>
        <w:t>Adómentesség, adókedvezmény</w:t>
      </w:r>
    </w:p>
    <w:p w:rsidR="00CF4F69" w:rsidRDefault="00CF4F69" w:rsidP="00CF4F69">
      <w:pPr>
        <w:jc w:val="center"/>
      </w:pPr>
    </w:p>
    <w:p w:rsidR="00CF4F69" w:rsidRDefault="00CF4F69" w:rsidP="00CF4F69">
      <w:pPr>
        <w:jc w:val="both"/>
      </w:pPr>
      <w:r>
        <w:t>11. § (1) Azon vállalkozó, akinek a Htv. 39. § (1) bekezdés, illetőleg a 39/A.</w:t>
      </w:r>
      <w:r w:rsidR="002D4BB6">
        <w:t xml:space="preserve">§, vagy 39/B. § alapján számított (vállalkozási szintű) adóalapja nem haladja meg a 2,5 millió Ft-ot 25 %-os adókedvezményre jogosult. </w:t>
      </w:r>
    </w:p>
    <w:p w:rsidR="002D4BB6" w:rsidRDefault="002D4BB6" w:rsidP="00CF4F69">
      <w:pPr>
        <w:jc w:val="both"/>
      </w:pPr>
    </w:p>
    <w:p w:rsidR="002D4BB6" w:rsidRDefault="002D4BB6" w:rsidP="00CF4F69">
      <w:pPr>
        <w:jc w:val="both"/>
      </w:pPr>
      <w:r>
        <w:t xml:space="preserve">(2) Az (1) bekezdésben foglaltaktól eltérően adómentesség illeti meg azt a háziorvos, védőnő vállalkozót, akinek a vállalkozási szintű adóalapja az adóévben a 20 millió forintot nem haladja meg. </w:t>
      </w:r>
    </w:p>
    <w:p w:rsidR="002D4BB6" w:rsidRDefault="002D4BB6" w:rsidP="00CF4F69">
      <w:pPr>
        <w:jc w:val="both"/>
      </w:pPr>
    </w:p>
    <w:p w:rsidR="002D4BB6" w:rsidRDefault="002D4BB6" w:rsidP="00CF4F69">
      <w:pPr>
        <w:jc w:val="both"/>
      </w:pPr>
      <w:r>
        <w:t xml:space="preserve">(3) Az (1) – (2) bekezdésben meghatározott adókedvezmény, illetve adómentesség formájában nyújtott támogatás csekély összegű támogatásnak minősül, amelyet kizárólag az Európai Unió működéséről szóló szerződés 107. és 108. cikkének a csekély összegű támogatásokra való alkalmazásáról szóló, 2013. december 18-i 1407/2013/EU bizottsági rendelet (HL L 352, 2013.12.24. </w:t>
      </w:r>
      <w:proofErr w:type="spellStart"/>
      <w:r>
        <w:t>I.o</w:t>
      </w:r>
      <w:proofErr w:type="spellEnd"/>
      <w:r>
        <w:t>) (a továbbiakban: 1407/2013/EU bizottsági rendelet) szabályai alapján lehet nyújtani.</w:t>
      </w:r>
    </w:p>
    <w:p w:rsidR="002D4BB6" w:rsidRDefault="002D4BB6" w:rsidP="00CF4F69">
      <w:pPr>
        <w:jc w:val="both"/>
      </w:pPr>
    </w:p>
    <w:p w:rsidR="00337102" w:rsidRDefault="00EC6F1F" w:rsidP="00CF4F69">
      <w:pPr>
        <w:jc w:val="both"/>
      </w:pPr>
      <w:r>
        <w:t xml:space="preserve">(4) A kedvezményezett az adókedvezmény, illetve adómentesség következtében megszerzett előnyt – az 1407/2013/EU bizottsági rendelet 1. cikke (2) bekezdésének kivételével – nem használhatja </w:t>
      </w:r>
      <w:r w:rsidR="00337102">
        <w:t>az 1407/2013/EU bizottsági rendelet 1. cikkének (1) bekezdésében meghatározott kivételek szerinti célokra, továbbá – az 1407 /2013/EU bizottsági rendelet 3. cikk (2) bekezdésének megfelelően – közúti kereskedelmi árufuvarozás ellenszolgáltatás fejében történő végzése céljából teherszállító jármű vásárlására.</w:t>
      </w:r>
    </w:p>
    <w:p w:rsidR="00337102" w:rsidRDefault="00337102" w:rsidP="00CF4F69">
      <w:pPr>
        <w:jc w:val="both"/>
      </w:pPr>
    </w:p>
    <w:p w:rsidR="00805D23" w:rsidRPr="006F08A1" w:rsidRDefault="00805D23" w:rsidP="00CF4F69">
      <w:pPr>
        <w:jc w:val="both"/>
      </w:pPr>
      <w:r>
        <w:t xml:space="preserve">(5) A kedvezményezettnek az 1407/2013/EU bizottsági rendelet 5. cikkének (1) bekezdése figyelembevételével – az ott meghatározott feltételek teljesítésének megállapítására alkalmas módon – jelen rendelet 1. mellékletben foglaltak szerint nyilatkoznia kell a részére a támogatás odaítélésének évében és az azt megelőző két pénzügyi évben nyújtott csekély összegű támogatások támogatástartalmáról. </w:t>
      </w:r>
      <w:r w:rsidR="001166AA" w:rsidRPr="006F08A1">
        <w:t>A nyi</w:t>
      </w:r>
      <w:r w:rsidR="00DD777B" w:rsidRPr="006F08A1">
        <w:t xml:space="preserve">latkozat </w:t>
      </w:r>
      <w:r w:rsidR="003D6E63" w:rsidRPr="006F08A1">
        <w:t>mintáját a rendelet</w:t>
      </w:r>
      <w:r w:rsidR="00DD777B" w:rsidRPr="006F08A1">
        <w:t xml:space="preserve"> 1.</w:t>
      </w:r>
      <w:r w:rsidR="003D6E63" w:rsidRPr="006F08A1">
        <w:t xml:space="preserve"> melléklete állapítja meg.</w:t>
      </w:r>
    </w:p>
    <w:p w:rsidR="00805D23" w:rsidRDefault="00805D23" w:rsidP="00CF4F69">
      <w:pPr>
        <w:jc w:val="both"/>
      </w:pPr>
    </w:p>
    <w:p w:rsidR="00805D23" w:rsidRDefault="00805D23" w:rsidP="00CF4F69">
      <w:pPr>
        <w:jc w:val="both"/>
      </w:pPr>
      <w:r>
        <w:t>(6) A kedvezményezett és az 1407/2013/EU bizottsági rendelet 2. cikk (2) bekezdése szerinti, egy és ugyanazon vállalkozás részére a folyó pénzügyi évben, valamint az azt megelőző két pénzügyi év során az 1407/2013/EU bizottsági rendelet alapján odaítélt csekély összegű támogatások bruttó támogatástartalma tagállamonként nem haladhatja meg a 200.000 eurónak, közúti kereskedelmi árufuvarozást ellenszolgáltatás fejében végző vállalkozások esetében a 100.000 eurónak megfelelő forintösszeget, figyelembe véve az 1407/2013/EU bizottsági rendelet 3. cikkének (8) és (9) bekezdését is. [Az átváltásnál az európai uniós versenyjogi értelemben vett állami támogatásokkal kapcsolatos eljárásról és a regionális támogatási térképről szóló 37/2011. (III.22.) Korm. rendelet 35. §</w:t>
      </w:r>
      <w:proofErr w:type="spellStart"/>
      <w:r>
        <w:t>-a</w:t>
      </w:r>
      <w:proofErr w:type="spellEnd"/>
      <w:r>
        <w:t xml:space="preserve"> alapján kell eljárni.]</w:t>
      </w:r>
    </w:p>
    <w:p w:rsidR="00805D23" w:rsidRDefault="00805D23" w:rsidP="00CF4F69">
      <w:pPr>
        <w:jc w:val="both"/>
      </w:pPr>
    </w:p>
    <w:p w:rsidR="002F6B30" w:rsidRDefault="00A44F94" w:rsidP="00CF4F69">
      <w:pPr>
        <w:jc w:val="both"/>
      </w:pPr>
      <w:r>
        <w:t xml:space="preserve">(7) Az 1407/2013/EU bizottsági rendelet alapján nyújtott csekély összegű támogatás az Európai Unió működéséről szóló szerződés 107. és 108. cikkének az általános gazdasági érdekű szolgáltatást nyújtó vállalkozások számára nyújtott csekély összegű támogatásokra </w:t>
      </w:r>
      <w:r w:rsidR="002F6B30">
        <w:t>való alkalmazásáról szóló, 2012. április 25-i 360/2012/EU bizottsági rendeletnek (HL L 114., 2012.4.26., 8. o.) megfelelően nyújtott csekély összegű támogatás más csekély összegű támogatással a 360/2012/EU bizottsági rendeletben meghatározott felső határig halmozható. Az 1407/2013/EU bizottsági rendelet szerinti csekély összegű támogatás más csekély összegű támogatással az 1407/2013/EU bizottsági rendelet 3. cikkének (2) bekezdésében meghatározott felső határig halmozható.</w:t>
      </w:r>
    </w:p>
    <w:p w:rsidR="002F6B30" w:rsidRDefault="002F6B30" w:rsidP="00CF4F69">
      <w:pPr>
        <w:jc w:val="both"/>
      </w:pPr>
    </w:p>
    <w:p w:rsidR="002D4BB6" w:rsidRDefault="002F6B30" w:rsidP="00CF4F69">
      <w:pPr>
        <w:jc w:val="both"/>
      </w:pPr>
      <w:r>
        <w:t>(8) A csekély összegű támogatás nem halmozható azonos támogatható költségek vonatkozásában vagy azonos kockázatfinanszírozási célú intézkedés vonatkozásában nyújtott állami támogatással, ha a támoga</w:t>
      </w:r>
      <w:r w:rsidR="00585F38">
        <w:t>tások halmozása túllépi bármely</w:t>
      </w:r>
      <w:r w:rsidR="00337102">
        <w:t xml:space="preserve"> </w:t>
      </w:r>
      <w:r>
        <w:t xml:space="preserve">csoportmentességi rendeletben vagy a Bizottság által elfogadott határozatban az egyes esetek meghatározott körülményeire vonatkozóan rögzített maximális intenzitást vagy összeget. </w:t>
      </w:r>
    </w:p>
    <w:p w:rsidR="001166AA" w:rsidRDefault="001166AA" w:rsidP="00CF4F69">
      <w:pPr>
        <w:jc w:val="both"/>
      </w:pPr>
    </w:p>
    <w:p w:rsidR="003D6E63" w:rsidRPr="006F08A1" w:rsidRDefault="001166AA" w:rsidP="003D6E63">
      <w:pPr>
        <w:jc w:val="both"/>
      </w:pPr>
      <w:r>
        <w:t xml:space="preserve">(9) A támogatást nyújtó írásban tájékoztatja a kedvezményezettet a támogatás bruttó támogatási egyenértékben kifejezett összegéről és arról, hogy az csekély összegűnek minősül. </w:t>
      </w:r>
      <w:r w:rsidR="003D6E63" w:rsidRPr="006F08A1">
        <w:t>Az igazolás mintáját a rendelet 2. melléklete állapítja meg.</w:t>
      </w:r>
    </w:p>
    <w:p w:rsidR="001166AA" w:rsidRPr="00DD777B" w:rsidRDefault="001166AA" w:rsidP="00CF4F69">
      <w:pPr>
        <w:jc w:val="both"/>
      </w:pPr>
    </w:p>
    <w:p w:rsidR="001166AA" w:rsidRPr="00DD777B" w:rsidRDefault="001166AA" w:rsidP="00CF4F69">
      <w:pPr>
        <w:jc w:val="both"/>
      </w:pPr>
    </w:p>
    <w:p w:rsidR="001166AA" w:rsidRDefault="00F64A28" w:rsidP="00CF4F69">
      <w:pPr>
        <w:jc w:val="both"/>
      </w:pPr>
      <w:r>
        <w:t>(10) A kedvezményezettnek a támogatáshoz kapcsolódó iratokat az odaítélést követő 10 évig meg kell őriznie, és a támogatást nyújtó ilyen irányú felhívása esetén a támogatott köteles azokat bemutatni. A csekély összegű támogatási jogcímen nyújtott támogatásokról az Európai Bizottság kérésére 20 munkanapon belül</w:t>
      </w:r>
      <w:r w:rsidR="00560AA4">
        <w:t xml:space="preserve"> információt kell szolgáltatni.”</w:t>
      </w:r>
    </w:p>
    <w:p w:rsidR="00F64A28" w:rsidRDefault="00F64A28" w:rsidP="00CF4F69">
      <w:pPr>
        <w:jc w:val="both"/>
      </w:pPr>
    </w:p>
    <w:p w:rsidR="00560AA4" w:rsidRDefault="00560AA4" w:rsidP="00560AA4"/>
    <w:p w:rsidR="00876418" w:rsidRPr="006F08A1" w:rsidRDefault="00560AA4" w:rsidP="00560AA4">
      <w:pPr>
        <w:rPr>
          <w:b/>
        </w:rPr>
      </w:pPr>
      <w:r w:rsidRPr="006F08A1">
        <w:t xml:space="preserve">2. § </w:t>
      </w:r>
      <w:r w:rsidR="00876418" w:rsidRPr="006F08A1">
        <w:t xml:space="preserve">Az </w:t>
      </w:r>
      <w:proofErr w:type="spellStart"/>
      <w:r w:rsidRPr="006F08A1">
        <w:t>Ör</w:t>
      </w:r>
      <w:proofErr w:type="spellEnd"/>
      <w:r w:rsidRPr="006F08A1">
        <w:t>. a k</w:t>
      </w:r>
      <w:r w:rsidR="00876418" w:rsidRPr="006F08A1">
        <w:t>övetkező 11/A. §</w:t>
      </w:r>
      <w:proofErr w:type="spellStart"/>
      <w:r w:rsidR="00876418" w:rsidRPr="006F08A1">
        <w:t>-al</w:t>
      </w:r>
      <w:proofErr w:type="spellEnd"/>
      <w:r w:rsidR="00876418" w:rsidRPr="006F08A1">
        <w:t xml:space="preserve"> egészül ki: </w:t>
      </w:r>
    </w:p>
    <w:p w:rsidR="00876418" w:rsidRDefault="00876418" w:rsidP="00876418">
      <w:pPr>
        <w:jc w:val="both"/>
      </w:pPr>
    </w:p>
    <w:p w:rsidR="00876418" w:rsidRDefault="00560AA4" w:rsidP="00876418">
      <w:pPr>
        <w:jc w:val="center"/>
        <w:rPr>
          <w:b/>
        </w:rPr>
      </w:pPr>
      <w:r>
        <w:rPr>
          <w:b/>
        </w:rPr>
        <w:t>„</w:t>
      </w:r>
      <w:r w:rsidR="00876418">
        <w:rPr>
          <w:b/>
        </w:rPr>
        <w:t xml:space="preserve">Értelmező rendelkezések </w:t>
      </w:r>
    </w:p>
    <w:p w:rsidR="00876418" w:rsidRDefault="00876418" w:rsidP="00876418">
      <w:pPr>
        <w:jc w:val="center"/>
        <w:rPr>
          <w:b/>
        </w:rPr>
      </w:pPr>
    </w:p>
    <w:p w:rsidR="00876418" w:rsidRDefault="00876418" w:rsidP="00876418">
      <w:pPr>
        <w:jc w:val="both"/>
      </w:pPr>
      <w:r>
        <w:t>11/A. § E rendelet alkalmazásában:</w:t>
      </w:r>
    </w:p>
    <w:p w:rsidR="00ED500E" w:rsidRDefault="00ED500E" w:rsidP="00876418">
      <w:pPr>
        <w:jc w:val="both"/>
      </w:pPr>
    </w:p>
    <w:p w:rsidR="00876418" w:rsidRDefault="00ED500E" w:rsidP="00ED500E">
      <w:pPr>
        <w:jc w:val="both"/>
      </w:pPr>
      <w:r>
        <w:t xml:space="preserve">1. </w:t>
      </w:r>
      <w:r w:rsidRPr="00ED500E">
        <w:rPr>
          <w:i/>
        </w:rPr>
        <w:t>á</w:t>
      </w:r>
      <w:r w:rsidR="00876418" w:rsidRPr="00ED500E">
        <w:rPr>
          <w:i/>
        </w:rPr>
        <w:t>llami támogatás:</w:t>
      </w:r>
      <w:r w:rsidR="00876418">
        <w:t xml:space="preserve"> az európai uniós versenyjogi értelemben vett állami támogatásokkal kapcsolatos eljárásról és a regionális támogatási térképről szóló 37/2011. (III.22.) Korm. rendelet 2.</w:t>
      </w:r>
      <w:r>
        <w:t xml:space="preserve"> § 1. pontja szerinti támogatás;</w:t>
      </w:r>
    </w:p>
    <w:p w:rsidR="00876418" w:rsidRDefault="00ED500E" w:rsidP="00ED500E">
      <w:pPr>
        <w:jc w:val="both"/>
      </w:pPr>
      <w:r>
        <w:t xml:space="preserve">2. </w:t>
      </w:r>
      <w:r w:rsidR="00876418" w:rsidRPr="00ED500E">
        <w:rPr>
          <w:i/>
        </w:rPr>
        <w:t>egy és ugyanazon vállalkozás:</w:t>
      </w:r>
      <w:r w:rsidR="00876418">
        <w:t xml:space="preserve"> az 1407/2013/EU bizottsági rendelet 2. cikk (2) bekezdése szerinti vállalkozás.</w:t>
      </w:r>
    </w:p>
    <w:p w:rsidR="00876418" w:rsidRDefault="00876418" w:rsidP="00876418">
      <w:pPr>
        <w:jc w:val="center"/>
        <w:rPr>
          <w:b/>
        </w:rPr>
      </w:pPr>
    </w:p>
    <w:p w:rsidR="00876418" w:rsidRDefault="003D6E63" w:rsidP="00876418">
      <w:pPr>
        <w:jc w:val="both"/>
      </w:pPr>
      <w:r w:rsidRPr="006F08A1">
        <w:t>3</w:t>
      </w:r>
      <w:r w:rsidR="00ED500E" w:rsidRPr="006F08A1">
        <w:t xml:space="preserve">. § </w:t>
      </w:r>
      <w:r w:rsidR="00ED500E">
        <w:t>Ez a rendelet</w:t>
      </w:r>
      <w:r w:rsidR="00ED500E" w:rsidRPr="00ED500E">
        <w:rPr>
          <w:color w:val="00B0F0"/>
        </w:rPr>
        <w:t xml:space="preserve"> </w:t>
      </w:r>
      <w:r w:rsidR="00ED500E" w:rsidRPr="006F08A1">
        <w:t>2016. július 1-jén</w:t>
      </w:r>
      <w:r w:rsidR="006F08A1">
        <w:t xml:space="preserve"> </w:t>
      </w:r>
      <w:r w:rsidR="00876418">
        <w:t xml:space="preserve">hatályba, és a hatálybalépését követő napon hatályát veszti. </w:t>
      </w:r>
    </w:p>
    <w:p w:rsidR="00876418" w:rsidRDefault="00876418" w:rsidP="00876418">
      <w:pPr>
        <w:jc w:val="both"/>
      </w:pPr>
    </w:p>
    <w:p w:rsidR="00876418" w:rsidRDefault="00876418" w:rsidP="00876418">
      <w:pPr>
        <w:jc w:val="both"/>
      </w:pPr>
    </w:p>
    <w:p w:rsidR="00876418" w:rsidRPr="006F08A1" w:rsidRDefault="00876418" w:rsidP="00876418">
      <w:pPr>
        <w:ind w:firstLine="708"/>
        <w:jc w:val="both"/>
      </w:pPr>
      <w:r>
        <w:tab/>
      </w:r>
      <w:r w:rsidR="00ED500E" w:rsidRPr="006F08A1">
        <w:t>dr. Tüske Róbert</w:t>
      </w:r>
      <w:r w:rsidRPr="006F08A1">
        <w:tab/>
      </w:r>
      <w:r w:rsidRPr="006F08A1">
        <w:tab/>
      </w:r>
      <w:r w:rsidRPr="006F08A1">
        <w:tab/>
      </w:r>
      <w:r w:rsidRPr="006F08A1">
        <w:tab/>
      </w:r>
      <w:r w:rsidRPr="006F08A1">
        <w:tab/>
      </w:r>
      <w:r w:rsidR="00ED500E" w:rsidRPr="006F08A1">
        <w:t>Papp Gábor</w:t>
      </w:r>
    </w:p>
    <w:p w:rsidR="00876418" w:rsidRPr="006F08A1" w:rsidRDefault="00ED500E" w:rsidP="00876418">
      <w:pPr>
        <w:ind w:firstLine="708"/>
        <w:jc w:val="both"/>
      </w:pPr>
      <w:r w:rsidRPr="006F08A1">
        <w:t xml:space="preserve">                    jegyző </w:t>
      </w:r>
      <w:r w:rsidRPr="006F08A1">
        <w:tab/>
      </w:r>
      <w:r w:rsidRPr="006F08A1">
        <w:tab/>
      </w:r>
      <w:r w:rsidRPr="006F08A1">
        <w:tab/>
      </w:r>
      <w:r w:rsidRPr="006F08A1">
        <w:tab/>
      </w:r>
      <w:r w:rsidRPr="006F08A1">
        <w:tab/>
      </w:r>
      <w:r w:rsidRPr="006F08A1">
        <w:tab/>
        <w:t>polgármester</w:t>
      </w:r>
    </w:p>
    <w:p w:rsidR="00876418" w:rsidRPr="006F08A1" w:rsidRDefault="00876418" w:rsidP="00876418">
      <w:pPr>
        <w:ind w:firstLine="708"/>
        <w:jc w:val="both"/>
      </w:pPr>
    </w:p>
    <w:p w:rsidR="00ED500E" w:rsidRPr="00ED500E" w:rsidRDefault="00ED500E">
      <w:pPr>
        <w:rPr>
          <w:color w:val="00B0F0"/>
        </w:rPr>
      </w:pPr>
      <w:r w:rsidRPr="00ED500E">
        <w:rPr>
          <w:color w:val="00B0F0"/>
        </w:rPr>
        <w:br w:type="page"/>
      </w:r>
    </w:p>
    <w:p w:rsidR="00A84F2E" w:rsidRPr="00C96BE4" w:rsidRDefault="00585F38" w:rsidP="00A84F2E">
      <w:pPr>
        <w:numPr>
          <w:ilvl w:val="0"/>
          <w:numId w:val="6"/>
        </w:numPr>
        <w:spacing w:line="276" w:lineRule="auto"/>
        <w:jc w:val="right"/>
        <w:rPr>
          <w:sz w:val="18"/>
          <w:szCs w:val="18"/>
        </w:rPr>
      </w:pPr>
      <w:r>
        <w:rPr>
          <w:sz w:val="18"/>
          <w:szCs w:val="18"/>
        </w:rPr>
        <w:lastRenderedPageBreak/>
        <w:t>m</w:t>
      </w:r>
      <w:r w:rsidR="00A84F2E" w:rsidRPr="00C96BE4">
        <w:rPr>
          <w:sz w:val="18"/>
          <w:szCs w:val="18"/>
        </w:rPr>
        <w:t xml:space="preserve">elléklet </w:t>
      </w:r>
      <w:proofErr w:type="gramStart"/>
      <w:r w:rsidR="00A84F2E" w:rsidRPr="00C96BE4">
        <w:rPr>
          <w:sz w:val="18"/>
          <w:szCs w:val="18"/>
        </w:rPr>
        <w:t>a …</w:t>
      </w:r>
      <w:proofErr w:type="gramEnd"/>
      <w:r w:rsidR="00A84F2E" w:rsidRPr="00C96BE4">
        <w:rPr>
          <w:sz w:val="18"/>
          <w:szCs w:val="18"/>
        </w:rPr>
        <w:t>…/2016. (………) önkormányzati rendelethez</w:t>
      </w:r>
    </w:p>
    <w:p w:rsidR="00A84F2E" w:rsidRPr="00216F52" w:rsidRDefault="00A84F2E" w:rsidP="00A84F2E">
      <w:pPr>
        <w:ind w:left="720"/>
        <w:jc w:val="right"/>
        <w:rPr>
          <w:b/>
          <w:sz w:val="18"/>
          <w:szCs w:val="18"/>
        </w:rPr>
      </w:pPr>
      <w:r w:rsidRPr="00C96BE4">
        <w:rPr>
          <w:sz w:val="18"/>
          <w:szCs w:val="18"/>
        </w:rPr>
        <w:t>„1. melléklet a 4/2010. (II.10.) önkormányzati rendelethez</w:t>
      </w:r>
      <w:r w:rsidRPr="00216F52">
        <w:rPr>
          <w:b/>
          <w:sz w:val="18"/>
          <w:szCs w:val="18"/>
        </w:rPr>
        <w:t>”</w:t>
      </w:r>
    </w:p>
    <w:p w:rsidR="00A84F2E" w:rsidRDefault="00A84F2E" w:rsidP="00A84F2E">
      <w:pPr>
        <w:jc w:val="center"/>
        <w:rPr>
          <w:b/>
          <w:sz w:val="32"/>
          <w:szCs w:val="32"/>
        </w:rPr>
      </w:pPr>
    </w:p>
    <w:p w:rsidR="00A84F2E" w:rsidRPr="00216F52" w:rsidRDefault="00A84F2E" w:rsidP="00A84F2E">
      <w:pPr>
        <w:jc w:val="center"/>
        <w:rPr>
          <w:b/>
          <w:sz w:val="32"/>
          <w:szCs w:val="32"/>
        </w:rPr>
      </w:pPr>
      <w:r w:rsidRPr="00216F52">
        <w:rPr>
          <w:b/>
          <w:sz w:val="32"/>
          <w:szCs w:val="32"/>
        </w:rPr>
        <w:t>NYILATKOZAT</w:t>
      </w:r>
    </w:p>
    <w:p w:rsidR="00A84F2E" w:rsidRPr="00216F52" w:rsidRDefault="00A84F2E" w:rsidP="00A84F2E">
      <w:pPr>
        <w:jc w:val="center"/>
        <w:rPr>
          <w:b/>
          <w:sz w:val="24"/>
          <w:szCs w:val="24"/>
        </w:rPr>
      </w:pPr>
    </w:p>
    <w:p w:rsidR="00A84F2E" w:rsidRPr="00216F52" w:rsidRDefault="00A84F2E" w:rsidP="00A84F2E">
      <w:pPr>
        <w:jc w:val="center"/>
        <w:rPr>
          <w:b/>
          <w:sz w:val="24"/>
          <w:szCs w:val="24"/>
        </w:rPr>
      </w:pPr>
      <w:r w:rsidRPr="00216F52">
        <w:rPr>
          <w:b/>
          <w:sz w:val="24"/>
          <w:szCs w:val="24"/>
        </w:rPr>
        <w:t>az Európai Unió működéséről szóló szerződés 107. és 108. cikkének a csekély összegű támogatásokra való alkalmazásáról szóló, 2013. december 18-i 1407/2013/EU bizottsági rendelet (HL L 352., 2013.12.24., 1. o.) szerinti csekély összegű (de minimis) támogatás esetén</w:t>
      </w:r>
    </w:p>
    <w:p w:rsidR="00A84F2E" w:rsidRPr="00216F52" w:rsidRDefault="00A84F2E" w:rsidP="00A84F2E">
      <w:pPr>
        <w:rPr>
          <w:b/>
          <w:sz w:val="20"/>
          <w:szCs w:val="20"/>
        </w:rPr>
      </w:pPr>
    </w:p>
    <w:p w:rsidR="00A84F2E" w:rsidRPr="00216F52" w:rsidRDefault="00A84F2E" w:rsidP="00A84F2E">
      <w:pPr>
        <w:rPr>
          <w:b/>
          <w:sz w:val="20"/>
          <w:szCs w:val="20"/>
        </w:rPr>
      </w:pPr>
    </w:p>
    <w:tbl>
      <w:tblPr>
        <w:tblW w:w="90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04"/>
        <w:gridCol w:w="4110"/>
      </w:tblGrid>
      <w:tr w:rsidR="00A84F2E" w:rsidRPr="00216F52" w:rsidTr="00F13362">
        <w:trPr>
          <w:jc w:val="center"/>
        </w:trPr>
        <w:tc>
          <w:tcPr>
            <w:tcW w:w="9014" w:type="dxa"/>
            <w:gridSpan w:val="2"/>
            <w:shd w:val="clear" w:color="auto" w:fill="auto"/>
          </w:tcPr>
          <w:p w:rsidR="00A84F2E" w:rsidRPr="00216F52" w:rsidRDefault="00A84F2E" w:rsidP="00F13362">
            <w:pPr>
              <w:jc w:val="both"/>
              <w:rPr>
                <w:b/>
              </w:rPr>
            </w:pPr>
            <w:r w:rsidRPr="00216F52">
              <w:rPr>
                <w:b/>
              </w:rPr>
              <w:t>1. Kedvezményezett adatai</w:t>
            </w:r>
          </w:p>
        </w:tc>
      </w:tr>
      <w:tr w:rsidR="00A84F2E" w:rsidRPr="00216F52" w:rsidTr="00F13362">
        <w:trPr>
          <w:trHeight w:val="415"/>
          <w:jc w:val="center"/>
        </w:trPr>
        <w:tc>
          <w:tcPr>
            <w:tcW w:w="4904" w:type="dxa"/>
            <w:shd w:val="clear" w:color="auto" w:fill="auto"/>
            <w:vAlign w:val="center"/>
          </w:tcPr>
          <w:p w:rsidR="00A84F2E" w:rsidRPr="00216F52" w:rsidRDefault="00A84F2E" w:rsidP="00F13362">
            <w:r w:rsidRPr="00216F52">
              <w:t>Név:</w:t>
            </w:r>
          </w:p>
        </w:tc>
        <w:tc>
          <w:tcPr>
            <w:tcW w:w="4110" w:type="dxa"/>
            <w:shd w:val="clear" w:color="auto" w:fill="auto"/>
            <w:vAlign w:val="center"/>
          </w:tcPr>
          <w:p w:rsidR="00A84F2E" w:rsidRPr="00216F52" w:rsidRDefault="00A84F2E" w:rsidP="00F13362"/>
        </w:tc>
      </w:tr>
      <w:tr w:rsidR="00A84F2E" w:rsidRPr="00216F52" w:rsidTr="00F13362">
        <w:trPr>
          <w:jc w:val="center"/>
        </w:trPr>
        <w:tc>
          <w:tcPr>
            <w:tcW w:w="4904" w:type="dxa"/>
            <w:shd w:val="clear" w:color="auto" w:fill="auto"/>
            <w:vAlign w:val="center"/>
          </w:tcPr>
          <w:p w:rsidR="00A84F2E" w:rsidRPr="00216F52" w:rsidRDefault="00A84F2E" w:rsidP="00F13362">
            <w:r w:rsidRPr="00216F52">
              <w:t>Adószám:</w:t>
            </w:r>
          </w:p>
        </w:tc>
        <w:tc>
          <w:tcPr>
            <w:tcW w:w="4110" w:type="dxa"/>
            <w:shd w:val="clear" w:color="auto" w:fill="auto"/>
            <w:vAlign w:val="center"/>
          </w:tcPr>
          <w:p w:rsidR="00A84F2E" w:rsidRPr="00216F52" w:rsidRDefault="00A84F2E" w:rsidP="00F13362"/>
        </w:tc>
      </w:tr>
      <w:tr w:rsidR="00A84F2E" w:rsidRPr="00216F52" w:rsidTr="00F13362">
        <w:trPr>
          <w:trHeight w:val="427"/>
          <w:jc w:val="center"/>
        </w:trPr>
        <w:tc>
          <w:tcPr>
            <w:tcW w:w="4904" w:type="dxa"/>
            <w:shd w:val="clear" w:color="auto" w:fill="auto"/>
            <w:vAlign w:val="center"/>
          </w:tcPr>
          <w:p w:rsidR="00A84F2E" w:rsidRPr="00216F52" w:rsidRDefault="00A84F2E" w:rsidP="00F13362">
            <w:r w:rsidRPr="00216F52">
              <w:t>Elérhetőség:</w:t>
            </w:r>
          </w:p>
        </w:tc>
        <w:tc>
          <w:tcPr>
            <w:tcW w:w="4110" w:type="dxa"/>
            <w:shd w:val="clear" w:color="auto" w:fill="auto"/>
            <w:vAlign w:val="center"/>
          </w:tcPr>
          <w:p w:rsidR="00A84F2E" w:rsidRPr="00216F52" w:rsidRDefault="00A84F2E" w:rsidP="00F13362"/>
        </w:tc>
      </w:tr>
      <w:tr w:rsidR="00A84F2E" w:rsidRPr="00216F52" w:rsidTr="00F13362">
        <w:trPr>
          <w:trHeight w:val="418"/>
          <w:jc w:val="center"/>
        </w:trPr>
        <w:tc>
          <w:tcPr>
            <w:tcW w:w="4904" w:type="dxa"/>
            <w:shd w:val="clear" w:color="auto" w:fill="auto"/>
            <w:vAlign w:val="center"/>
          </w:tcPr>
          <w:p w:rsidR="00A84F2E" w:rsidRPr="00216F52" w:rsidRDefault="00A84F2E" w:rsidP="00F13362">
            <w:r w:rsidRPr="00216F52">
              <w:t>Aláírásra jogosult képviselő:</w:t>
            </w:r>
          </w:p>
        </w:tc>
        <w:tc>
          <w:tcPr>
            <w:tcW w:w="4110" w:type="dxa"/>
            <w:shd w:val="clear" w:color="auto" w:fill="auto"/>
            <w:vAlign w:val="center"/>
          </w:tcPr>
          <w:p w:rsidR="00A84F2E" w:rsidRPr="00216F52" w:rsidRDefault="00A84F2E" w:rsidP="00F13362"/>
        </w:tc>
      </w:tr>
      <w:tr w:rsidR="00A84F2E" w:rsidRPr="00216F52" w:rsidTr="00F13362">
        <w:trPr>
          <w:trHeight w:val="411"/>
          <w:jc w:val="center"/>
        </w:trPr>
        <w:tc>
          <w:tcPr>
            <w:tcW w:w="4904" w:type="dxa"/>
            <w:shd w:val="clear" w:color="auto" w:fill="auto"/>
            <w:vAlign w:val="center"/>
          </w:tcPr>
          <w:p w:rsidR="00A84F2E" w:rsidRPr="00216F52" w:rsidRDefault="00A84F2E" w:rsidP="00F13362">
            <w:r w:rsidRPr="00216F52">
              <w:t>E-mail cím:</w:t>
            </w:r>
          </w:p>
        </w:tc>
        <w:tc>
          <w:tcPr>
            <w:tcW w:w="4110" w:type="dxa"/>
            <w:shd w:val="clear" w:color="auto" w:fill="auto"/>
            <w:vAlign w:val="center"/>
          </w:tcPr>
          <w:p w:rsidR="00A84F2E" w:rsidRPr="00216F52" w:rsidRDefault="00A84F2E" w:rsidP="00F13362"/>
        </w:tc>
      </w:tr>
      <w:tr w:rsidR="00A84F2E" w:rsidRPr="00216F52" w:rsidTr="00F13362">
        <w:trPr>
          <w:trHeight w:val="465"/>
          <w:jc w:val="center"/>
        </w:trPr>
        <w:tc>
          <w:tcPr>
            <w:tcW w:w="9014" w:type="dxa"/>
            <w:gridSpan w:val="2"/>
            <w:shd w:val="clear" w:color="auto" w:fill="auto"/>
            <w:vAlign w:val="center"/>
          </w:tcPr>
          <w:p w:rsidR="00A84F2E" w:rsidRPr="00216F52" w:rsidRDefault="00A84F2E" w:rsidP="00F13362">
            <w:r w:rsidRPr="00216F52">
              <w:rPr>
                <w:i/>
              </w:rPr>
              <w:t>(jelölje X-szel )</w:t>
            </w:r>
          </w:p>
          <w:p w:rsidR="00A84F2E" w:rsidRPr="00216F52" w:rsidRDefault="00A84F2E" w:rsidP="00F13362">
            <w:pPr>
              <w:pStyle w:val="lielparametri"/>
              <w:spacing w:before="0" w:after="0"/>
              <w:ind w:left="0"/>
              <w:jc w:val="both"/>
              <w:rPr>
                <w:rFonts w:cs="Arial"/>
                <w:sz w:val="22"/>
                <w:szCs w:val="22"/>
              </w:rPr>
            </w:pPr>
            <w:r w:rsidRPr="00216F52">
              <w:rPr>
                <w:rFonts w:cs="Arial"/>
                <w:sz w:val="22"/>
                <w:szCs w:val="22"/>
              </w:rPr>
              <w:sym w:font="Webdings" w:char="F063"/>
            </w:r>
            <w:r w:rsidRPr="00216F52">
              <w:rPr>
                <w:rFonts w:cs="Arial"/>
                <w:sz w:val="22"/>
                <w:szCs w:val="22"/>
              </w:rPr>
              <w:t xml:space="preserve"> Egyesülés a folyamatban lévő és az azt megelőző két adóév során  </w:t>
            </w:r>
          </w:p>
          <w:p w:rsidR="00A84F2E" w:rsidRPr="00216F52" w:rsidRDefault="00A84F2E" w:rsidP="00F13362">
            <w:pPr>
              <w:pStyle w:val="lielparametri"/>
              <w:spacing w:before="0" w:after="0"/>
              <w:ind w:left="0"/>
              <w:jc w:val="both"/>
              <w:rPr>
                <w:rFonts w:cs="Arial"/>
                <w:sz w:val="22"/>
                <w:szCs w:val="22"/>
              </w:rPr>
            </w:pPr>
            <w:r w:rsidRPr="00216F52">
              <w:rPr>
                <w:rFonts w:cs="Arial"/>
                <w:sz w:val="22"/>
                <w:szCs w:val="22"/>
              </w:rPr>
              <w:sym w:font="Webdings" w:char="F063"/>
            </w:r>
            <w:r w:rsidRPr="00216F52">
              <w:rPr>
                <w:rFonts w:cs="Arial"/>
                <w:sz w:val="22"/>
                <w:szCs w:val="22"/>
              </w:rPr>
              <w:t xml:space="preserve"> Szétválás a folyamatban lévő és az azt megelőző két adóév során  </w:t>
            </w:r>
          </w:p>
        </w:tc>
      </w:tr>
      <w:tr w:rsidR="00A84F2E" w:rsidRPr="00216F52" w:rsidTr="00F13362">
        <w:trPr>
          <w:trHeight w:val="557"/>
          <w:jc w:val="center"/>
        </w:trPr>
        <w:tc>
          <w:tcPr>
            <w:tcW w:w="4904" w:type="dxa"/>
            <w:shd w:val="clear" w:color="auto" w:fill="auto"/>
            <w:vAlign w:val="center"/>
          </w:tcPr>
          <w:p w:rsidR="00A84F2E" w:rsidRPr="00216F52" w:rsidRDefault="00A84F2E" w:rsidP="00F13362">
            <w:r w:rsidRPr="00216F52">
              <w:t xml:space="preserve">Egyesülés, szétválás ideje: </w:t>
            </w:r>
          </w:p>
        </w:tc>
        <w:tc>
          <w:tcPr>
            <w:tcW w:w="4110" w:type="dxa"/>
            <w:shd w:val="clear" w:color="auto" w:fill="auto"/>
            <w:vAlign w:val="center"/>
          </w:tcPr>
          <w:p w:rsidR="00A84F2E" w:rsidRPr="00216F52" w:rsidRDefault="00A84F2E" w:rsidP="00F13362"/>
          <w:p w:rsidR="00A84F2E" w:rsidRPr="00216F52" w:rsidRDefault="00A84F2E" w:rsidP="00F13362">
            <w:r w:rsidRPr="00216F52">
              <w:t>_________   ___________   _________</w:t>
            </w:r>
          </w:p>
          <w:p w:rsidR="00A84F2E" w:rsidRPr="00216F52" w:rsidRDefault="00A84F2E" w:rsidP="00F13362">
            <w:r w:rsidRPr="00216F52">
              <w:t xml:space="preserve">   (év)             (hónap)           (nap)</w:t>
            </w:r>
          </w:p>
        </w:tc>
      </w:tr>
    </w:tbl>
    <w:p w:rsidR="00A84F2E" w:rsidRPr="00216F52" w:rsidRDefault="00A84F2E" w:rsidP="00A84F2E"/>
    <w:p w:rsidR="00A84F2E" w:rsidRPr="00216F52" w:rsidRDefault="00A84F2E" w:rsidP="00A84F2E"/>
    <w:p w:rsidR="00A84F2E" w:rsidRPr="00216F52" w:rsidRDefault="00A84F2E" w:rsidP="00A84F2E">
      <w:pPr>
        <w:jc w:val="both"/>
      </w:pPr>
      <w:r w:rsidRPr="00216F52">
        <w:t>Ezúton nyilatkozom, hogy a folyó pénzügyi évben és az azt megelőző két pénzügyi év során a kedvezményezett, továbbá az olyan vállalkozások, amelyekkel a kedvezményezett az 1407/2013/EU bizottsági rendelet 2. cikk (2) bekezdése alapján egy és ugyanazon vállalkozásnak minősül, Magyarországon a következő csekély összegű támogatás(ok)</w:t>
      </w:r>
      <w:proofErr w:type="spellStart"/>
      <w:r w:rsidRPr="00216F52">
        <w:t>ban</w:t>
      </w:r>
      <w:proofErr w:type="spellEnd"/>
      <w:r w:rsidRPr="00216F52">
        <w:t xml:space="preserve"> részesültek. </w:t>
      </w:r>
    </w:p>
    <w:p w:rsidR="00A84F2E" w:rsidRPr="00216F52" w:rsidRDefault="00A84F2E" w:rsidP="00A84F2E">
      <w:pPr>
        <w:jc w:val="both"/>
      </w:pPr>
      <w:r w:rsidRPr="00216F52">
        <w:t>Nyilatkozatom arra is kiterjed, hogy a kedvezményezett, továbbá az olyan vállalkozások, amelyekkel a kedvezményezett egy és ugyanazon vállalkozásnak minősül, milyen csekély összegű támogatás(ok)</w:t>
      </w:r>
      <w:proofErr w:type="spellStart"/>
      <w:r w:rsidRPr="00216F52">
        <w:t>ra</w:t>
      </w:r>
      <w:proofErr w:type="spellEnd"/>
      <w:r w:rsidRPr="00216F52">
        <w:t xml:space="preserve"> nyújtottak be támogatási kérelmet (az elutasított kérelmekről nem kell nyilatkozni, csak azokról, amelyek elbírálása folyamatban van).</w:t>
      </w:r>
    </w:p>
    <w:p w:rsidR="00A84F2E" w:rsidRPr="00216F52" w:rsidRDefault="00A84F2E" w:rsidP="00A84F2E">
      <w:pPr>
        <w:jc w:val="both"/>
      </w:pPr>
    </w:p>
    <w:p w:rsidR="00A84F2E" w:rsidRPr="00216F52" w:rsidRDefault="00A84F2E" w:rsidP="00A84F2E">
      <w:pPr>
        <w:jc w:val="both"/>
      </w:pPr>
      <w:r w:rsidRPr="00216F52">
        <w:t>Nyilatkozatom a 1407/2013/EU bizottsági rendelet 3. cikk (8)-(9) bekezdéseiben írtak betartásához szükséges adatokat is tartalmazzák.</w:t>
      </w:r>
      <w:r w:rsidRPr="00216F52">
        <w:rPr>
          <w:rStyle w:val="Lbjegyzet-hivatkozs"/>
        </w:rPr>
        <w:footnoteReference w:id="1"/>
      </w:r>
    </w:p>
    <w:p w:rsidR="00A84F2E" w:rsidRPr="00216F52" w:rsidRDefault="00A84F2E" w:rsidP="00A84F2E">
      <w:pPr>
        <w:jc w:val="both"/>
        <w:sectPr w:rsidR="00A84F2E" w:rsidRPr="00216F52" w:rsidSect="008B2F7F">
          <w:footerReference w:type="default" r:id="rId7"/>
          <w:headerReference w:type="first" r:id="rId8"/>
          <w:pgSz w:w="11906" w:h="16838"/>
          <w:pgMar w:top="1417" w:right="1417" w:bottom="1417" w:left="1417" w:header="708" w:footer="708" w:gutter="0"/>
          <w:cols w:space="708"/>
          <w:titlePg/>
          <w:docGrid w:linePitch="360"/>
        </w:sectPr>
      </w:pPr>
    </w:p>
    <w:tbl>
      <w:tblPr>
        <w:tblpPr w:leftFromText="141" w:rightFromText="141" w:vertAnchor="text" w:horzAnchor="margin" w:tblpY="-512"/>
        <w:tblW w:w="496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14"/>
        <w:gridCol w:w="1683"/>
        <w:gridCol w:w="1541"/>
        <w:gridCol w:w="1822"/>
        <w:gridCol w:w="1823"/>
        <w:gridCol w:w="1542"/>
        <w:gridCol w:w="1121"/>
        <w:gridCol w:w="844"/>
        <w:gridCol w:w="702"/>
        <w:gridCol w:w="982"/>
        <w:gridCol w:w="1123"/>
      </w:tblGrid>
      <w:tr w:rsidR="00A84F2E" w:rsidTr="00F13362">
        <w:trPr>
          <w:trHeight w:val="385"/>
        </w:trPr>
        <w:tc>
          <w:tcPr>
            <w:tcW w:w="14046" w:type="dxa"/>
            <w:gridSpan w:val="11"/>
            <w:vAlign w:val="center"/>
          </w:tcPr>
          <w:p w:rsidR="00A84F2E" w:rsidRPr="00DB7D1C" w:rsidRDefault="00A84F2E" w:rsidP="00F13362">
            <w:pPr>
              <w:rPr>
                <w:rFonts w:cs="Calibri"/>
                <w:b/>
              </w:rPr>
            </w:pPr>
            <w:r w:rsidRPr="00DB7D1C">
              <w:rPr>
                <w:rFonts w:cs="Calibri"/>
                <w:b/>
              </w:rPr>
              <w:lastRenderedPageBreak/>
              <w:t>2. Csekély összegű támogatások</w:t>
            </w:r>
            <w:r w:rsidRPr="00DB7D1C">
              <w:rPr>
                <w:rStyle w:val="Lbjegyzet-hivatkozs"/>
                <w:rFonts w:cs="Calibri"/>
                <w:b/>
              </w:rPr>
              <w:footnoteReference w:id="2"/>
            </w:r>
          </w:p>
        </w:tc>
      </w:tr>
      <w:tr w:rsidR="00A84F2E" w:rsidRPr="00AC79C5" w:rsidTr="00F13362">
        <w:tblPrEx>
          <w:tblCellMar>
            <w:left w:w="108" w:type="dxa"/>
            <w:right w:w="108" w:type="dxa"/>
          </w:tblCellMar>
          <w:tblLook w:val="01E0" w:firstRow="1" w:lastRow="1" w:firstColumn="1" w:lastColumn="1" w:noHBand="0" w:noVBand="0"/>
        </w:tblPrEx>
        <w:trPr>
          <w:trHeight w:val="777"/>
        </w:trPr>
        <w:tc>
          <w:tcPr>
            <w:tcW w:w="720" w:type="dxa"/>
            <w:vMerge w:val="restart"/>
            <w:vAlign w:val="center"/>
          </w:tcPr>
          <w:p w:rsidR="00A84F2E" w:rsidRPr="00DB7D1C" w:rsidRDefault="00A84F2E" w:rsidP="00F13362">
            <w:pPr>
              <w:jc w:val="center"/>
              <w:rPr>
                <w:rFonts w:cs="Calibri"/>
                <w:b/>
              </w:rPr>
            </w:pPr>
            <w:r w:rsidRPr="00DB7D1C">
              <w:rPr>
                <w:rFonts w:cs="Calibri"/>
                <w:b/>
              </w:rPr>
              <w:t>Sor-szám</w:t>
            </w:r>
          </w:p>
        </w:tc>
        <w:tc>
          <w:tcPr>
            <w:tcW w:w="1702" w:type="dxa"/>
            <w:vMerge w:val="restart"/>
            <w:vAlign w:val="center"/>
          </w:tcPr>
          <w:p w:rsidR="00A84F2E" w:rsidRPr="00DB7D1C" w:rsidRDefault="00A84F2E" w:rsidP="00F13362">
            <w:pPr>
              <w:jc w:val="center"/>
              <w:rPr>
                <w:rFonts w:cs="Calibri"/>
                <w:b/>
              </w:rPr>
            </w:pPr>
            <w:r w:rsidRPr="00DB7D1C">
              <w:rPr>
                <w:rFonts w:cs="Calibri"/>
                <w:b/>
              </w:rPr>
              <w:t>Támogatás jogalapja (bizottsági rendelet száma)</w:t>
            </w:r>
          </w:p>
        </w:tc>
        <w:tc>
          <w:tcPr>
            <w:tcW w:w="1558" w:type="dxa"/>
            <w:vMerge w:val="restart"/>
            <w:vAlign w:val="center"/>
          </w:tcPr>
          <w:p w:rsidR="00A84F2E" w:rsidRPr="00DB7D1C" w:rsidRDefault="00A84F2E" w:rsidP="00F13362">
            <w:pPr>
              <w:jc w:val="center"/>
              <w:rPr>
                <w:rFonts w:cs="Calibri"/>
                <w:b/>
              </w:rPr>
            </w:pPr>
            <w:r w:rsidRPr="00DB7D1C">
              <w:rPr>
                <w:rFonts w:cs="Calibri"/>
                <w:b/>
              </w:rPr>
              <w:t>Támogatást nyújtó szervezet</w:t>
            </w:r>
          </w:p>
        </w:tc>
        <w:tc>
          <w:tcPr>
            <w:tcW w:w="1843" w:type="dxa"/>
            <w:vMerge w:val="restart"/>
            <w:vAlign w:val="center"/>
          </w:tcPr>
          <w:p w:rsidR="00A84F2E" w:rsidRPr="00DB7D1C" w:rsidRDefault="00A84F2E" w:rsidP="00F13362">
            <w:pPr>
              <w:jc w:val="center"/>
              <w:rPr>
                <w:rFonts w:cs="Calibri"/>
                <w:b/>
              </w:rPr>
            </w:pPr>
            <w:r w:rsidRPr="00DB7D1C">
              <w:rPr>
                <w:rFonts w:cs="Calibri"/>
                <w:b/>
              </w:rPr>
              <w:t xml:space="preserve">Támogatás </w:t>
            </w:r>
            <w:proofErr w:type="spellStart"/>
            <w:r w:rsidRPr="00DB7D1C">
              <w:rPr>
                <w:rFonts w:cs="Calibri"/>
                <w:b/>
              </w:rPr>
              <w:t>kedvezménye-zettje</w:t>
            </w:r>
            <w:proofErr w:type="spellEnd"/>
            <w:r w:rsidRPr="00DB7D1C">
              <w:rPr>
                <w:rFonts w:cs="Calibri"/>
                <w:b/>
              </w:rPr>
              <w:t xml:space="preserve"> és célja</w:t>
            </w:r>
          </w:p>
          <w:p w:rsidR="00A84F2E" w:rsidRPr="00DB7D1C" w:rsidRDefault="00A84F2E" w:rsidP="00F13362">
            <w:pPr>
              <w:jc w:val="center"/>
              <w:rPr>
                <w:rFonts w:cs="Calibri"/>
                <w:b/>
              </w:rPr>
            </w:pPr>
          </w:p>
        </w:tc>
        <w:tc>
          <w:tcPr>
            <w:tcW w:w="1844" w:type="dxa"/>
            <w:vMerge w:val="restart"/>
            <w:vAlign w:val="center"/>
          </w:tcPr>
          <w:p w:rsidR="00A84F2E" w:rsidRPr="00DB7D1C" w:rsidRDefault="00A84F2E" w:rsidP="00F13362">
            <w:pPr>
              <w:jc w:val="center"/>
              <w:rPr>
                <w:rFonts w:cs="Calibri"/>
                <w:b/>
              </w:rPr>
            </w:pPr>
            <w:r w:rsidRPr="00DB7D1C">
              <w:rPr>
                <w:rFonts w:cs="Calibri"/>
                <w:b/>
              </w:rPr>
              <w:t>A támogatást ellenszolgáltatás</w:t>
            </w:r>
            <w:r w:rsidR="00C96BE4">
              <w:rPr>
                <w:rFonts w:cs="Calibri"/>
                <w:b/>
              </w:rPr>
              <w:t xml:space="preserve"> fejében végzett közúti kereskedelmi </w:t>
            </w:r>
            <w:proofErr w:type="spellStart"/>
            <w:r w:rsidR="00C96BE4">
              <w:rPr>
                <w:rFonts w:cs="Calibri"/>
                <w:b/>
              </w:rPr>
              <w:t>árufuva</w:t>
            </w:r>
            <w:r w:rsidRPr="00DB7D1C">
              <w:rPr>
                <w:rFonts w:cs="Calibri"/>
                <w:b/>
              </w:rPr>
              <w:t>rozás</w:t>
            </w:r>
            <w:r w:rsidR="00C96BE4">
              <w:rPr>
                <w:rFonts w:cs="Calibri"/>
                <w:b/>
              </w:rPr>
              <w:t>-</w:t>
            </w:r>
            <w:r w:rsidRPr="00DB7D1C">
              <w:rPr>
                <w:rFonts w:cs="Calibri"/>
                <w:b/>
              </w:rPr>
              <w:t>hoz</w:t>
            </w:r>
            <w:proofErr w:type="spellEnd"/>
            <w:r w:rsidRPr="00DB7D1C">
              <w:rPr>
                <w:rFonts w:cs="Calibri"/>
                <w:b/>
              </w:rPr>
              <w:t xml:space="preserve"> vette igénybe?</w:t>
            </w:r>
          </w:p>
        </w:tc>
        <w:tc>
          <w:tcPr>
            <w:tcW w:w="1559" w:type="dxa"/>
            <w:vMerge w:val="restart"/>
            <w:vAlign w:val="center"/>
          </w:tcPr>
          <w:p w:rsidR="00A84F2E" w:rsidRPr="00DB7D1C" w:rsidRDefault="00A84F2E" w:rsidP="00F13362">
            <w:pPr>
              <w:jc w:val="center"/>
              <w:rPr>
                <w:rFonts w:cs="Calibri"/>
                <w:b/>
              </w:rPr>
            </w:pPr>
            <w:r w:rsidRPr="00DB7D1C">
              <w:rPr>
                <w:rFonts w:cs="Calibri"/>
                <w:b/>
              </w:rPr>
              <w:t xml:space="preserve">Kérelem </w:t>
            </w:r>
            <w:proofErr w:type="spellStart"/>
            <w:r w:rsidRPr="00DB7D1C">
              <w:rPr>
                <w:rFonts w:cs="Calibri"/>
                <w:b/>
              </w:rPr>
              <w:t>benyúj-tásának</w:t>
            </w:r>
            <w:proofErr w:type="spellEnd"/>
            <w:r w:rsidRPr="00DB7D1C">
              <w:rPr>
                <w:rFonts w:cs="Calibri"/>
                <w:b/>
              </w:rPr>
              <w:t xml:space="preserve"> dátuma</w:t>
            </w:r>
            <w:r w:rsidRPr="00DB7D1C">
              <w:rPr>
                <w:rStyle w:val="Lbjegyzet-hivatkozs"/>
                <w:rFonts w:cs="Calibri"/>
                <w:b/>
              </w:rPr>
              <w:footnoteReference w:id="3"/>
            </w:r>
          </w:p>
        </w:tc>
        <w:tc>
          <w:tcPr>
            <w:tcW w:w="1133" w:type="dxa"/>
            <w:vMerge w:val="restart"/>
            <w:vAlign w:val="center"/>
          </w:tcPr>
          <w:p w:rsidR="00A84F2E" w:rsidRPr="00DB7D1C" w:rsidRDefault="00A84F2E" w:rsidP="00F13362">
            <w:pPr>
              <w:jc w:val="center"/>
              <w:rPr>
                <w:rFonts w:cs="Calibri"/>
                <w:b/>
              </w:rPr>
            </w:pPr>
            <w:r w:rsidRPr="00DB7D1C">
              <w:rPr>
                <w:rFonts w:cs="Calibri"/>
                <w:b/>
              </w:rPr>
              <w:t>Odaítélés dátuma</w:t>
            </w:r>
          </w:p>
        </w:tc>
        <w:tc>
          <w:tcPr>
            <w:tcW w:w="1560" w:type="dxa"/>
            <w:gridSpan w:val="2"/>
          </w:tcPr>
          <w:p w:rsidR="00A84F2E" w:rsidRPr="00DB7D1C" w:rsidRDefault="00A84F2E" w:rsidP="00F13362">
            <w:pPr>
              <w:jc w:val="center"/>
              <w:rPr>
                <w:rFonts w:cs="Calibri"/>
                <w:b/>
              </w:rPr>
            </w:pPr>
            <w:r w:rsidRPr="00DB7D1C">
              <w:rPr>
                <w:rFonts w:cs="Calibri"/>
                <w:b/>
              </w:rPr>
              <w:t>Támogatás összege</w:t>
            </w:r>
          </w:p>
        </w:tc>
        <w:tc>
          <w:tcPr>
            <w:tcW w:w="2127" w:type="dxa"/>
            <w:gridSpan w:val="2"/>
          </w:tcPr>
          <w:p w:rsidR="00A84F2E" w:rsidRPr="00DB7D1C" w:rsidRDefault="00A84F2E" w:rsidP="00F13362">
            <w:pPr>
              <w:jc w:val="center"/>
              <w:rPr>
                <w:rFonts w:cs="Calibri"/>
                <w:b/>
              </w:rPr>
            </w:pPr>
            <w:r w:rsidRPr="00DB7D1C">
              <w:rPr>
                <w:rFonts w:cs="Calibri"/>
                <w:b/>
              </w:rPr>
              <w:t>Támogatás bruttó támogatástartalma</w:t>
            </w:r>
            <w:r w:rsidRPr="00DB7D1C">
              <w:rPr>
                <w:rStyle w:val="Lbjegyzet-hivatkozs"/>
                <w:rFonts w:cs="Calibri"/>
                <w:b/>
              </w:rPr>
              <w:footnoteReference w:id="4"/>
            </w:r>
          </w:p>
        </w:tc>
      </w:tr>
      <w:tr w:rsidR="00A84F2E" w:rsidRPr="00AC79C5" w:rsidTr="00F13362">
        <w:tblPrEx>
          <w:tblCellMar>
            <w:left w:w="108" w:type="dxa"/>
            <w:right w:w="108" w:type="dxa"/>
          </w:tblCellMar>
          <w:tblLook w:val="01E0" w:firstRow="1" w:lastRow="1" w:firstColumn="1" w:lastColumn="1" w:noHBand="0" w:noVBand="0"/>
        </w:tblPrEx>
        <w:trPr>
          <w:trHeight w:val="2410"/>
        </w:trPr>
        <w:tc>
          <w:tcPr>
            <w:tcW w:w="720" w:type="dxa"/>
            <w:vMerge/>
            <w:vAlign w:val="center"/>
          </w:tcPr>
          <w:p w:rsidR="00A84F2E" w:rsidRPr="00DB7D1C" w:rsidRDefault="00A84F2E" w:rsidP="00F13362">
            <w:pPr>
              <w:jc w:val="center"/>
              <w:rPr>
                <w:rFonts w:cs="Calibri"/>
                <w:b/>
              </w:rPr>
            </w:pPr>
          </w:p>
        </w:tc>
        <w:tc>
          <w:tcPr>
            <w:tcW w:w="1702" w:type="dxa"/>
            <w:vMerge/>
            <w:vAlign w:val="center"/>
          </w:tcPr>
          <w:p w:rsidR="00A84F2E" w:rsidRPr="00DB7D1C" w:rsidRDefault="00A84F2E" w:rsidP="00F13362">
            <w:pPr>
              <w:jc w:val="center"/>
              <w:rPr>
                <w:rFonts w:cs="Calibri"/>
                <w:b/>
              </w:rPr>
            </w:pPr>
          </w:p>
        </w:tc>
        <w:tc>
          <w:tcPr>
            <w:tcW w:w="1558" w:type="dxa"/>
            <w:vMerge/>
            <w:vAlign w:val="center"/>
          </w:tcPr>
          <w:p w:rsidR="00A84F2E" w:rsidRPr="00DB7D1C" w:rsidRDefault="00A84F2E" w:rsidP="00F13362">
            <w:pPr>
              <w:jc w:val="center"/>
              <w:rPr>
                <w:rFonts w:cs="Calibri"/>
                <w:b/>
              </w:rPr>
            </w:pPr>
          </w:p>
        </w:tc>
        <w:tc>
          <w:tcPr>
            <w:tcW w:w="1843" w:type="dxa"/>
            <w:vMerge/>
            <w:vAlign w:val="center"/>
          </w:tcPr>
          <w:p w:rsidR="00A84F2E" w:rsidRPr="00DB7D1C" w:rsidRDefault="00A84F2E" w:rsidP="00F13362">
            <w:pPr>
              <w:jc w:val="center"/>
              <w:rPr>
                <w:rFonts w:cs="Calibri"/>
                <w:b/>
              </w:rPr>
            </w:pPr>
          </w:p>
        </w:tc>
        <w:tc>
          <w:tcPr>
            <w:tcW w:w="1844" w:type="dxa"/>
            <w:vMerge/>
            <w:vAlign w:val="center"/>
          </w:tcPr>
          <w:p w:rsidR="00A84F2E" w:rsidRPr="00DB7D1C" w:rsidRDefault="00A84F2E" w:rsidP="00F13362">
            <w:pPr>
              <w:jc w:val="center"/>
              <w:rPr>
                <w:rFonts w:cs="Calibri"/>
                <w:b/>
              </w:rPr>
            </w:pPr>
          </w:p>
        </w:tc>
        <w:tc>
          <w:tcPr>
            <w:tcW w:w="1559" w:type="dxa"/>
            <w:vMerge/>
            <w:vAlign w:val="center"/>
          </w:tcPr>
          <w:p w:rsidR="00A84F2E" w:rsidRPr="00DB7D1C" w:rsidRDefault="00A84F2E" w:rsidP="00F13362">
            <w:pPr>
              <w:jc w:val="center"/>
              <w:rPr>
                <w:rFonts w:cs="Calibri"/>
                <w:b/>
              </w:rPr>
            </w:pPr>
          </w:p>
        </w:tc>
        <w:tc>
          <w:tcPr>
            <w:tcW w:w="1133" w:type="dxa"/>
            <w:vMerge/>
            <w:vAlign w:val="center"/>
          </w:tcPr>
          <w:p w:rsidR="00A84F2E" w:rsidRPr="00DB7D1C" w:rsidRDefault="00A84F2E" w:rsidP="00F13362">
            <w:pPr>
              <w:jc w:val="center"/>
              <w:rPr>
                <w:rFonts w:cs="Calibri"/>
                <w:b/>
              </w:rPr>
            </w:pPr>
          </w:p>
        </w:tc>
        <w:tc>
          <w:tcPr>
            <w:tcW w:w="852" w:type="dxa"/>
            <w:vAlign w:val="center"/>
          </w:tcPr>
          <w:p w:rsidR="00A84F2E" w:rsidRPr="00DB7D1C" w:rsidRDefault="00A84F2E" w:rsidP="00F13362">
            <w:pPr>
              <w:jc w:val="center"/>
              <w:rPr>
                <w:rFonts w:cs="Calibri"/>
                <w:b/>
              </w:rPr>
            </w:pPr>
            <w:r w:rsidRPr="00DB7D1C">
              <w:rPr>
                <w:rFonts w:cs="Calibri"/>
                <w:b/>
              </w:rPr>
              <w:t>Forint</w:t>
            </w:r>
          </w:p>
        </w:tc>
        <w:tc>
          <w:tcPr>
            <w:tcW w:w="708" w:type="dxa"/>
            <w:vAlign w:val="center"/>
          </w:tcPr>
          <w:p w:rsidR="00A84F2E" w:rsidRPr="00DB7D1C" w:rsidRDefault="00A84F2E" w:rsidP="00F13362">
            <w:pPr>
              <w:jc w:val="center"/>
              <w:rPr>
                <w:rFonts w:cs="Calibri"/>
                <w:b/>
              </w:rPr>
            </w:pPr>
            <w:r w:rsidRPr="00DB7D1C">
              <w:rPr>
                <w:rFonts w:cs="Calibri"/>
                <w:b/>
              </w:rPr>
              <w:t>Euró</w:t>
            </w:r>
          </w:p>
        </w:tc>
        <w:tc>
          <w:tcPr>
            <w:tcW w:w="992" w:type="dxa"/>
            <w:vAlign w:val="center"/>
          </w:tcPr>
          <w:p w:rsidR="00A84F2E" w:rsidRPr="00DB7D1C" w:rsidRDefault="00A84F2E" w:rsidP="00F13362">
            <w:pPr>
              <w:jc w:val="center"/>
              <w:rPr>
                <w:rFonts w:cs="Calibri"/>
                <w:b/>
              </w:rPr>
            </w:pPr>
            <w:r w:rsidRPr="00DB7D1C">
              <w:rPr>
                <w:rFonts w:cs="Calibri"/>
                <w:b/>
              </w:rPr>
              <w:t>Forint</w:t>
            </w:r>
          </w:p>
        </w:tc>
        <w:tc>
          <w:tcPr>
            <w:tcW w:w="1135" w:type="dxa"/>
            <w:vAlign w:val="center"/>
          </w:tcPr>
          <w:p w:rsidR="00A84F2E" w:rsidRPr="00DB7D1C" w:rsidRDefault="00A84F2E" w:rsidP="00F13362">
            <w:pPr>
              <w:jc w:val="center"/>
              <w:rPr>
                <w:rFonts w:cs="Calibri"/>
                <w:b/>
              </w:rPr>
            </w:pPr>
            <w:r w:rsidRPr="00DB7D1C">
              <w:rPr>
                <w:rFonts w:cs="Calibri"/>
                <w:b/>
              </w:rPr>
              <w:t>Euró</w:t>
            </w:r>
          </w:p>
        </w:tc>
      </w:tr>
      <w:tr w:rsidR="00A84F2E" w:rsidRPr="00AC79C5" w:rsidTr="00F13362">
        <w:tblPrEx>
          <w:tblCellMar>
            <w:left w:w="108" w:type="dxa"/>
            <w:right w:w="108" w:type="dxa"/>
          </w:tblCellMar>
          <w:tblLook w:val="01E0" w:firstRow="1" w:lastRow="1" w:firstColumn="1" w:lastColumn="1" w:noHBand="0" w:noVBand="0"/>
        </w:tblPrEx>
        <w:trPr>
          <w:trHeight w:val="1208"/>
        </w:trPr>
        <w:tc>
          <w:tcPr>
            <w:tcW w:w="720" w:type="dxa"/>
          </w:tcPr>
          <w:p w:rsidR="00A84F2E" w:rsidRPr="00DB7D1C" w:rsidRDefault="00A84F2E" w:rsidP="00F13362">
            <w:pPr>
              <w:jc w:val="center"/>
              <w:rPr>
                <w:rFonts w:cs="Calibri"/>
              </w:rPr>
            </w:pPr>
          </w:p>
        </w:tc>
        <w:tc>
          <w:tcPr>
            <w:tcW w:w="1702" w:type="dxa"/>
          </w:tcPr>
          <w:p w:rsidR="00A84F2E" w:rsidRPr="00DB7D1C" w:rsidRDefault="00A84F2E" w:rsidP="00F13362">
            <w:pPr>
              <w:jc w:val="center"/>
              <w:rPr>
                <w:rFonts w:cs="Calibri"/>
              </w:rPr>
            </w:pPr>
          </w:p>
        </w:tc>
        <w:tc>
          <w:tcPr>
            <w:tcW w:w="1558" w:type="dxa"/>
          </w:tcPr>
          <w:p w:rsidR="00A84F2E" w:rsidRPr="00DB7D1C" w:rsidRDefault="00A84F2E" w:rsidP="00F13362">
            <w:pPr>
              <w:jc w:val="center"/>
              <w:rPr>
                <w:rFonts w:cs="Calibri"/>
              </w:rPr>
            </w:pPr>
          </w:p>
        </w:tc>
        <w:tc>
          <w:tcPr>
            <w:tcW w:w="1843" w:type="dxa"/>
          </w:tcPr>
          <w:p w:rsidR="00A84F2E" w:rsidRPr="00DB7D1C" w:rsidRDefault="00A84F2E" w:rsidP="00F13362">
            <w:pPr>
              <w:jc w:val="center"/>
              <w:rPr>
                <w:rFonts w:cs="Calibri"/>
              </w:rPr>
            </w:pPr>
          </w:p>
        </w:tc>
        <w:tc>
          <w:tcPr>
            <w:tcW w:w="1844" w:type="dxa"/>
          </w:tcPr>
          <w:p w:rsidR="00A84F2E" w:rsidRPr="00DB7D1C" w:rsidRDefault="00A84F2E" w:rsidP="00F13362">
            <w:pPr>
              <w:jc w:val="center"/>
              <w:rPr>
                <w:rFonts w:cs="Calibri"/>
              </w:rPr>
            </w:pPr>
          </w:p>
        </w:tc>
        <w:tc>
          <w:tcPr>
            <w:tcW w:w="1559" w:type="dxa"/>
          </w:tcPr>
          <w:p w:rsidR="00A84F2E" w:rsidRPr="00DB7D1C" w:rsidRDefault="00A84F2E" w:rsidP="00F13362">
            <w:pPr>
              <w:jc w:val="center"/>
              <w:rPr>
                <w:rFonts w:cs="Calibri"/>
              </w:rPr>
            </w:pPr>
          </w:p>
        </w:tc>
        <w:tc>
          <w:tcPr>
            <w:tcW w:w="1133" w:type="dxa"/>
          </w:tcPr>
          <w:p w:rsidR="00A84F2E" w:rsidRPr="00DB7D1C" w:rsidRDefault="00A84F2E" w:rsidP="00F13362">
            <w:pPr>
              <w:jc w:val="center"/>
              <w:rPr>
                <w:rFonts w:cs="Calibri"/>
              </w:rPr>
            </w:pPr>
          </w:p>
        </w:tc>
        <w:tc>
          <w:tcPr>
            <w:tcW w:w="852" w:type="dxa"/>
          </w:tcPr>
          <w:p w:rsidR="00A84F2E" w:rsidRPr="00DB7D1C" w:rsidRDefault="00A84F2E" w:rsidP="00F13362">
            <w:pPr>
              <w:jc w:val="center"/>
              <w:rPr>
                <w:rFonts w:cs="Calibri"/>
              </w:rPr>
            </w:pPr>
          </w:p>
        </w:tc>
        <w:tc>
          <w:tcPr>
            <w:tcW w:w="708" w:type="dxa"/>
          </w:tcPr>
          <w:p w:rsidR="00A84F2E" w:rsidRPr="00DB7D1C" w:rsidRDefault="00A84F2E" w:rsidP="00F13362">
            <w:pPr>
              <w:jc w:val="center"/>
              <w:rPr>
                <w:rFonts w:cs="Calibri"/>
              </w:rPr>
            </w:pPr>
          </w:p>
        </w:tc>
        <w:tc>
          <w:tcPr>
            <w:tcW w:w="992" w:type="dxa"/>
          </w:tcPr>
          <w:p w:rsidR="00A84F2E" w:rsidRPr="00DB7D1C" w:rsidRDefault="00A84F2E" w:rsidP="00F13362">
            <w:pPr>
              <w:jc w:val="center"/>
              <w:rPr>
                <w:rFonts w:cs="Calibri"/>
              </w:rPr>
            </w:pPr>
          </w:p>
        </w:tc>
        <w:tc>
          <w:tcPr>
            <w:tcW w:w="1135" w:type="dxa"/>
          </w:tcPr>
          <w:p w:rsidR="00A84F2E" w:rsidRPr="00DB7D1C" w:rsidRDefault="00A84F2E" w:rsidP="00F13362">
            <w:pPr>
              <w:jc w:val="center"/>
              <w:rPr>
                <w:rFonts w:cs="Calibri"/>
              </w:rPr>
            </w:pPr>
          </w:p>
        </w:tc>
      </w:tr>
      <w:tr w:rsidR="00A84F2E" w:rsidRPr="00AC79C5" w:rsidTr="00F13362">
        <w:tblPrEx>
          <w:tblCellMar>
            <w:left w:w="108" w:type="dxa"/>
            <w:right w:w="108" w:type="dxa"/>
          </w:tblCellMar>
          <w:tblLook w:val="01E0" w:firstRow="1" w:lastRow="1" w:firstColumn="1" w:lastColumn="1" w:noHBand="0" w:noVBand="0"/>
        </w:tblPrEx>
        <w:trPr>
          <w:trHeight w:val="1126"/>
        </w:trPr>
        <w:tc>
          <w:tcPr>
            <w:tcW w:w="720" w:type="dxa"/>
          </w:tcPr>
          <w:p w:rsidR="00A84F2E" w:rsidRPr="00DB7D1C" w:rsidRDefault="00A84F2E" w:rsidP="00F13362">
            <w:pPr>
              <w:jc w:val="center"/>
              <w:rPr>
                <w:rFonts w:cs="Calibri"/>
              </w:rPr>
            </w:pPr>
          </w:p>
        </w:tc>
        <w:tc>
          <w:tcPr>
            <w:tcW w:w="1702" w:type="dxa"/>
          </w:tcPr>
          <w:p w:rsidR="00A84F2E" w:rsidRPr="00DB7D1C" w:rsidRDefault="00A84F2E" w:rsidP="00F13362">
            <w:pPr>
              <w:jc w:val="center"/>
              <w:rPr>
                <w:rFonts w:cs="Calibri"/>
              </w:rPr>
            </w:pPr>
          </w:p>
        </w:tc>
        <w:tc>
          <w:tcPr>
            <w:tcW w:w="1558" w:type="dxa"/>
          </w:tcPr>
          <w:p w:rsidR="00A84F2E" w:rsidRPr="00DB7D1C" w:rsidRDefault="00A84F2E" w:rsidP="00F13362">
            <w:pPr>
              <w:jc w:val="center"/>
              <w:rPr>
                <w:rFonts w:cs="Calibri"/>
              </w:rPr>
            </w:pPr>
          </w:p>
        </w:tc>
        <w:tc>
          <w:tcPr>
            <w:tcW w:w="1843" w:type="dxa"/>
          </w:tcPr>
          <w:p w:rsidR="00A84F2E" w:rsidRPr="00DB7D1C" w:rsidRDefault="00A84F2E" w:rsidP="00F13362">
            <w:pPr>
              <w:jc w:val="center"/>
              <w:rPr>
                <w:rFonts w:cs="Calibri"/>
              </w:rPr>
            </w:pPr>
          </w:p>
        </w:tc>
        <w:tc>
          <w:tcPr>
            <w:tcW w:w="1844" w:type="dxa"/>
          </w:tcPr>
          <w:p w:rsidR="00A84F2E" w:rsidRPr="00DB7D1C" w:rsidRDefault="00A84F2E" w:rsidP="00F13362">
            <w:pPr>
              <w:jc w:val="center"/>
              <w:rPr>
                <w:rFonts w:cs="Calibri"/>
              </w:rPr>
            </w:pPr>
          </w:p>
        </w:tc>
        <w:tc>
          <w:tcPr>
            <w:tcW w:w="1559" w:type="dxa"/>
          </w:tcPr>
          <w:p w:rsidR="00A84F2E" w:rsidRPr="00DB7D1C" w:rsidRDefault="00A84F2E" w:rsidP="00F13362">
            <w:pPr>
              <w:jc w:val="center"/>
              <w:rPr>
                <w:rFonts w:cs="Calibri"/>
              </w:rPr>
            </w:pPr>
          </w:p>
        </w:tc>
        <w:tc>
          <w:tcPr>
            <w:tcW w:w="1133" w:type="dxa"/>
          </w:tcPr>
          <w:p w:rsidR="00A84F2E" w:rsidRPr="00DB7D1C" w:rsidRDefault="00A84F2E" w:rsidP="00F13362">
            <w:pPr>
              <w:jc w:val="center"/>
              <w:rPr>
                <w:rFonts w:cs="Calibri"/>
              </w:rPr>
            </w:pPr>
          </w:p>
        </w:tc>
        <w:tc>
          <w:tcPr>
            <w:tcW w:w="852" w:type="dxa"/>
          </w:tcPr>
          <w:p w:rsidR="00A84F2E" w:rsidRPr="00DB7D1C" w:rsidRDefault="00A84F2E" w:rsidP="00F13362">
            <w:pPr>
              <w:jc w:val="center"/>
              <w:rPr>
                <w:rFonts w:cs="Calibri"/>
              </w:rPr>
            </w:pPr>
          </w:p>
        </w:tc>
        <w:tc>
          <w:tcPr>
            <w:tcW w:w="708" w:type="dxa"/>
          </w:tcPr>
          <w:p w:rsidR="00A84F2E" w:rsidRPr="00DB7D1C" w:rsidRDefault="00A84F2E" w:rsidP="00F13362">
            <w:pPr>
              <w:jc w:val="center"/>
              <w:rPr>
                <w:rFonts w:cs="Calibri"/>
              </w:rPr>
            </w:pPr>
          </w:p>
        </w:tc>
        <w:tc>
          <w:tcPr>
            <w:tcW w:w="992" w:type="dxa"/>
          </w:tcPr>
          <w:p w:rsidR="00A84F2E" w:rsidRPr="00DB7D1C" w:rsidRDefault="00A84F2E" w:rsidP="00F13362">
            <w:pPr>
              <w:jc w:val="center"/>
              <w:rPr>
                <w:rFonts w:cs="Calibri"/>
              </w:rPr>
            </w:pPr>
          </w:p>
        </w:tc>
        <w:tc>
          <w:tcPr>
            <w:tcW w:w="1135" w:type="dxa"/>
          </w:tcPr>
          <w:p w:rsidR="00A84F2E" w:rsidRPr="00DB7D1C" w:rsidRDefault="00A84F2E" w:rsidP="00F13362">
            <w:pPr>
              <w:jc w:val="center"/>
              <w:rPr>
                <w:rFonts w:cs="Calibri"/>
              </w:rPr>
            </w:pPr>
          </w:p>
        </w:tc>
      </w:tr>
      <w:tr w:rsidR="00A84F2E" w:rsidRPr="00AC79C5" w:rsidTr="00F13362">
        <w:tblPrEx>
          <w:tblCellMar>
            <w:left w:w="108" w:type="dxa"/>
            <w:right w:w="108" w:type="dxa"/>
          </w:tblCellMar>
          <w:tblLook w:val="01E0" w:firstRow="1" w:lastRow="1" w:firstColumn="1" w:lastColumn="1" w:noHBand="0" w:noVBand="0"/>
        </w:tblPrEx>
        <w:trPr>
          <w:trHeight w:val="1256"/>
        </w:trPr>
        <w:tc>
          <w:tcPr>
            <w:tcW w:w="720" w:type="dxa"/>
          </w:tcPr>
          <w:p w:rsidR="00A84F2E" w:rsidRPr="00DB7D1C" w:rsidRDefault="00A84F2E" w:rsidP="00F13362">
            <w:pPr>
              <w:jc w:val="center"/>
              <w:rPr>
                <w:rFonts w:cs="Calibri"/>
              </w:rPr>
            </w:pPr>
          </w:p>
        </w:tc>
        <w:tc>
          <w:tcPr>
            <w:tcW w:w="1702" w:type="dxa"/>
          </w:tcPr>
          <w:p w:rsidR="00A84F2E" w:rsidRPr="00DB7D1C" w:rsidRDefault="00A84F2E" w:rsidP="00F13362">
            <w:pPr>
              <w:jc w:val="center"/>
              <w:rPr>
                <w:rFonts w:cs="Calibri"/>
              </w:rPr>
            </w:pPr>
          </w:p>
        </w:tc>
        <w:tc>
          <w:tcPr>
            <w:tcW w:w="1558" w:type="dxa"/>
          </w:tcPr>
          <w:p w:rsidR="00A84F2E" w:rsidRPr="00DB7D1C" w:rsidRDefault="00A84F2E" w:rsidP="00F13362">
            <w:pPr>
              <w:jc w:val="center"/>
              <w:rPr>
                <w:rFonts w:cs="Calibri"/>
              </w:rPr>
            </w:pPr>
          </w:p>
        </w:tc>
        <w:tc>
          <w:tcPr>
            <w:tcW w:w="1843" w:type="dxa"/>
          </w:tcPr>
          <w:p w:rsidR="00A84F2E" w:rsidRPr="00DB7D1C" w:rsidRDefault="00A84F2E" w:rsidP="00F13362">
            <w:pPr>
              <w:jc w:val="center"/>
              <w:rPr>
                <w:rFonts w:cs="Calibri"/>
              </w:rPr>
            </w:pPr>
          </w:p>
        </w:tc>
        <w:tc>
          <w:tcPr>
            <w:tcW w:w="1844" w:type="dxa"/>
          </w:tcPr>
          <w:p w:rsidR="00A84F2E" w:rsidRPr="00DB7D1C" w:rsidRDefault="00A84F2E" w:rsidP="00F13362">
            <w:pPr>
              <w:jc w:val="center"/>
              <w:rPr>
                <w:rFonts w:cs="Calibri"/>
              </w:rPr>
            </w:pPr>
          </w:p>
        </w:tc>
        <w:tc>
          <w:tcPr>
            <w:tcW w:w="1559" w:type="dxa"/>
          </w:tcPr>
          <w:p w:rsidR="00A84F2E" w:rsidRPr="00DB7D1C" w:rsidRDefault="00A84F2E" w:rsidP="00F13362">
            <w:pPr>
              <w:jc w:val="center"/>
              <w:rPr>
                <w:rFonts w:cs="Calibri"/>
              </w:rPr>
            </w:pPr>
          </w:p>
        </w:tc>
        <w:tc>
          <w:tcPr>
            <w:tcW w:w="1133" w:type="dxa"/>
          </w:tcPr>
          <w:p w:rsidR="00A84F2E" w:rsidRPr="00DB7D1C" w:rsidRDefault="00A84F2E" w:rsidP="00F13362">
            <w:pPr>
              <w:jc w:val="center"/>
              <w:rPr>
                <w:rFonts w:cs="Calibri"/>
              </w:rPr>
            </w:pPr>
          </w:p>
        </w:tc>
        <w:tc>
          <w:tcPr>
            <w:tcW w:w="852" w:type="dxa"/>
          </w:tcPr>
          <w:p w:rsidR="00A84F2E" w:rsidRPr="00DB7D1C" w:rsidRDefault="00A84F2E" w:rsidP="00F13362">
            <w:pPr>
              <w:jc w:val="center"/>
              <w:rPr>
                <w:rFonts w:cs="Calibri"/>
              </w:rPr>
            </w:pPr>
          </w:p>
        </w:tc>
        <w:tc>
          <w:tcPr>
            <w:tcW w:w="708" w:type="dxa"/>
          </w:tcPr>
          <w:p w:rsidR="00A84F2E" w:rsidRPr="00DB7D1C" w:rsidRDefault="00A84F2E" w:rsidP="00F13362">
            <w:pPr>
              <w:jc w:val="center"/>
              <w:rPr>
                <w:rFonts w:cs="Calibri"/>
              </w:rPr>
            </w:pPr>
          </w:p>
        </w:tc>
        <w:tc>
          <w:tcPr>
            <w:tcW w:w="992" w:type="dxa"/>
          </w:tcPr>
          <w:p w:rsidR="00A84F2E" w:rsidRPr="00DB7D1C" w:rsidRDefault="00A84F2E" w:rsidP="00F13362">
            <w:pPr>
              <w:jc w:val="center"/>
              <w:rPr>
                <w:rFonts w:cs="Calibri"/>
              </w:rPr>
            </w:pPr>
          </w:p>
        </w:tc>
        <w:tc>
          <w:tcPr>
            <w:tcW w:w="1135" w:type="dxa"/>
          </w:tcPr>
          <w:p w:rsidR="00A84F2E" w:rsidRPr="00DB7D1C" w:rsidRDefault="00A84F2E" w:rsidP="00F13362">
            <w:pPr>
              <w:jc w:val="center"/>
              <w:rPr>
                <w:rFonts w:cs="Calibri"/>
              </w:rPr>
            </w:pPr>
          </w:p>
        </w:tc>
      </w:tr>
    </w:tbl>
    <w:p w:rsidR="00A84F2E" w:rsidRPr="00DB7D1C" w:rsidRDefault="00A84F2E" w:rsidP="00A84F2E">
      <w:pPr>
        <w:jc w:val="both"/>
        <w:rPr>
          <w:rFonts w:cs="Calibri"/>
        </w:rPr>
      </w:pPr>
    </w:p>
    <w:p w:rsidR="00A84F2E" w:rsidRPr="00DB7D1C" w:rsidRDefault="00A84F2E" w:rsidP="00A84F2E">
      <w:pPr>
        <w:jc w:val="both"/>
        <w:rPr>
          <w:rFonts w:cs="Calibri"/>
        </w:rPr>
      </w:pPr>
    </w:p>
    <w:p w:rsidR="00A84F2E" w:rsidRPr="00DB7D1C" w:rsidRDefault="00A84F2E" w:rsidP="00A84F2E">
      <w:pPr>
        <w:jc w:val="both"/>
        <w:rPr>
          <w:rFonts w:cs="Calibri"/>
        </w:rPr>
      </w:pPr>
    </w:p>
    <w:p w:rsidR="00A84F2E" w:rsidRPr="00DB7D1C" w:rsidRDefault="00A84F2E" w:rsidP="00A84F2E">
      <w:pPr>
        <w:rPr>
          <w:rFonts w:cs="Calibri"/>
        </w:rPr>
        <w:sectPr w:rsidR="00A84F2E" w:rsidRPr="00DB7D1C" w:rsidSect="00420C4B">
          <w:pgSz w:w="16838" w:h="11906" w:orient="landscape"/>
          <w:pgMar w:top="1418" w:right="1418" w:bottom="1418" w:left="1418" w:header="709" w:footer="709" w:gutter="0"/>
          <w:cols w:space="708"/>
          <w:docGrid w:linePitch="360"/>
        </w:sectPr>
      </w:pPr>
    </w:p>
    <w:p w:rsidR="00A84F2E" w:rsidRPr="00DB7D1C" w:rsidRDefault="00A84F2E" w:rsidP="00A84F2E">
      <w:pPr>
        <w:rPr>
          <w:rFonts w:cs="Calibri"/>
        </w:rPr>
      </w:pPr>
    </w:p>
    <w:p w:rsidR="00A84F2E" w:rsidRPr="00DB7D1C" w:rsidRDefault="00A84F2E" w:rsidP="00A84F2E">
      <w:pPr>
        <w:rPr>
          <w:rFonts w:cs="Calibri"/>
        </w:rPr>
      </w:pPr>
    </w:p>
    <w:p w:rsidR="00A84F2E" w:rsidRPr="00DB7D1C" w:rsidRDefault="00A84F2E" w:rsidP="00A84F2E">
      <w:pPr>
        <w:rPr>
          <w:rFonts w:cs="Calibri"/>
        </w:rPr>
      </w:pPr>
    </w:p>
    <w:tbl>
      <w:tblPr>
        <w:tblW w:w="93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45"/>
        <w:gridCol w:w="3755"/>
      </w:tblGrid>
      <w:tr w:rsidR="00A84F2E" w:rsidRPr="00AC79C5" w:rsidTr="00F13362">
        <w:trPr>
          <w:jc w:val="center"/>
        </w:trPr>
        <w:tc>
          <w:tcPr>
            <w:tcW w:w="9300" w:type="dxa"/>
            <w:gridSpan w:val="2"/>
            <w:shd w:val="clear" w:color="auto" w:fill="auto"/>
            <w:vAlign w:val="center"/>
          </w:tcPr>
          <w:p w:rsidR="00A84F2E" w:rsidRPr="00DB7D1C" w:rsidRDefault="00A84F2E" w:rsidP="00F13362">
            <w:pPr>
              <w:rPr>
                <w:rFonts w:cs="Calibri"/>
                <w:b/>
              </w:rPr>
            </w:pPr>
            <w:r w:rsidRPr="00DB7D1C">
              <w:rPr>
                <w:rFonts w:cs="Calibri"/>
                <w:b/>
              </w:rPr>
              <w:t>3. Adatok az egy és ugyanazon vállalkozásokról</w:t>
            </w:r>
          </w:p>
        </w:tc>
      </w:tr>
      <w:tr w:rsidR="00A84F2E" w:rsidRPr="00AC79C5" w:rsidDel="00CE53F6" w:rsidTr="00F13362">
        <w:trPr>
          <w:jc w:val="center"/>
        </w:trPr>
        <w:tc>
          <w:tcPr>
            <w:tcW w:w="9300" w:type="dxa"/>
            <w:gridSpan w:val="2"/>
            <w:shd w:val="clear" w:color="auto" w:fill="auto"/>
            <w:vAlign w:val="center"/>
          </w:tcPr>
          <w:p w:rsidR="00A84F2E" w:rsidRPr="00DB7D1C" w:rsidDel="00CE53F6" w:rsidRDefault="00A84F2E" w:rsidP="00F13362">
            <w:pPr>
              <w:jc w:val="both"/>
              <w:rPr>
                <w:rFonts w:cs="Calibri"/>
              </w:rPr>
            </w:pPr>
            <w:r w:rsidRPr="00DB7D1C">
              <w:rPr>
                <w:rFonts w:cs="Calibri"/>
              </w:rPr>
              <w:t xml:space="preserve">Nyilatkozom, hogy az 1407/2013/EU bizottsági rendelet </w:t>
            </w:r>
            <w:r w:rsidRPr="00DB7D1C">
              <w:rPr>
                <w:rFonts w:cs="Calibri"/>
                <w:bCs/>
              </w:rPr>
              <w:t>2. cikk (2) bekezdése értelmében a </w:t>
            </w:r>
            <w:r w:rsidRPr="00DB7D1C">
              <w:rPr>
                <w:rFonts w:cs="Calibri"/>
              </w:rPr>
              <w:t>kedvezményezett</w:t>
            </w:r>
            <w:r w:rsidRPr="00DB7D1C">
              <w:rPr>
                <w:rFonts w:cs="Calibri"/>
                <w:bCs/>
              </w:rPr>
              <w:t xml:space="preserve"> az alábbi vállalkozásokkal minősül egy és ugyanazon vállalkozásnak.</w:t>
            </w:r>
          </w:p>
        </w:tc>
      </w:tr>
      <w:tr w:rsidR="00A84F2E" w:rsidRPr="00AC79C5" w:rsidTr="00F13362">
        <w:trPr>
          <w:jc w:val="center"/>
        </w:trPr>
        <w:tc>
          <w:tcPr>
            <w:tcW w:w="5545" w:type="dxa"/>
            <w:shd w:val="clear" w:color="auto" w:fill="auto"/>
            <w:vAlign w:val="center"/>
          </w:tcPr>
          <w:p w:rsidR="00A84F2E" w:rsidRPr="00DB7D1C" w:rsidRDefault="00A84F2E" w:rsidP="00F13362">
            <w:pPr>
              <w:rPr>
                <w:rFonts w:cs="Calibri"/>
                <w:b/>
              </w:rPr>
            </w:pPr>
            <w:r w:rsidRPr="00DB7D1C">
              <w:rPr>
                <w:rFonts w:cs="Calibri"/>
                <w:b/>
              </w:rPr>
              <w:t>Vállalkozás neve</w:t>
            </w:r>
          </w:p>
        </w:tc>
        <w:tc>
          <w:tcPr>
            <w:tcW w:w="3755" w:type="dxa"/>
            <w:shd w:val="clear" w:color="auto" w:fill="auto"/>
            <w:vAlign w:val="center"/>
          </w:tcPr>
          <w:p w:rsidR="00A84F2E" w:rsidRPr="00DB7D1C" w:rsidRDefault="00A84F2E" w:rsidP="00F13362">
            <w:pPr>
              <w:rPr>
                <w:rFonts w:cs="Calibri"/>
                <w:b/>
              </w:rPr>
            </w:pPr>
            <w:r w:rsidRPr="00DB7D1C">
              <w:rPr>
                <w:rFonts w:cs="Calibri"/>
                <w:b/>
              </w:rPr>
              <w:t>Adószáma</w:t>
            </w:r>
          </w:p>
        </w:tc>
      </w:tr>
      <w:tr w:rsidR="00A84F2E" w:rsidRPr="00AC79C5" w:rsidTr="00F13362">
        <w:trPr>
          <w:trHeight w:val="563"/>
          <w:jc w:val="center"/>
        </w:trPr>
        <w:tc>
          <w:tcPr>
            <w:tcW w:w="5545" w:type="dxa"/>
            <w:shd w:val="clear" w:color="auto" w:fill="auto"/>
          </w:tcPr>
          <w:p w:rsidR="00A84F2E" w:rsidRPr="00DB7D1C" w:rsidRDefault="00A84F2E" w:rsidP="00F13362">
            <w:pPr>
              <w:jc w:val="both"/>
              <w:rPr>
                <w:rFonts w:cs="Calibri"/>
              </w:rPr>
            </w:pPr>
          </w:p>
        </w:tc>
        <w:tc>
          <w:tcPr>
            <w:tcW w:w="3755" w:type="dxa"/>
            <w:shd w:val="clear" w:color="auto" w:fill="auto"/>
          </w:tcPr>
          <w:p w:rsidR="00A84F2E" w:rsidRPr="00DB7D1C" w:rsidRDefault="00A84F2E" w:rsidP="00F13362">
            <w:pPr>
              <w:jc w:val="both"/>
              <w:rPr>
                <w:rFonts w:cs="Calibri"/>
              </w:rPr>
            </w:pPr>
          </w:p>
        </w:tc>
      </w:tr>
      <w:tr w:rsidR="00A84F2E" w:rsidRPr="00AC79C5" w:rsidTr="00F13362">
        <w:trPr>
          <w:trHeight w:val="563"/>
          <w:jc w:val="center"/>
        </w:trPr>
        <w:tc>
          <w:tcPr>
            <w:tcW w:w="5545" w:type="dxa"/>
            <w:shd w:val="clear" w:color="auto" w:fill="auto"/>
          </w:tcPr>
          <w:p w:rsidR="00A84F2E" w:rsidRPr="00DB7D1C" w:rsidRDefault="00A84F2E" w:rsidP="00F13362">
            <w:pPr>
              <w:jc w:val="both"/>
              <w:rPr>
                <w:rFonts w:cs="Calibri"/>
              </w:rPr>
            </w:pPr>
          </w:p>
        </w:tc>
        <w:tc>
          <w:tcPr>
            <w:tcW w:w="3755" w:type="dxa"/>
            <w:shd w:val="clear" w:color="auto" w:fill="auto"/>
          </w:tcPr>
          <w:p w:rsidR="00A84F2E" w:rsidRPr="00DB7D1C" w:rsidRDefault="00A84F2E" w:rsidP="00F13362">
            <w:pPr>
              <w:jc w:val="both"/>
              <w:rPr>
                <w:rFonts w:cs="Calibri"/>
              </w:rPr>
            </w:pPr>
          </w:p>
        </w:tc>
      </w:tr>
      <w:tr w:rsidR="00A84F2E" w:rsidRPr="00AC79C5" w:rsidTr="00F13362">
        <w:trPr>
          <w:trHeight w:val="563"/>
          <w:jc w:val="center"/>
        </w:trPr>
        <w:tc>
          <w:tcPr>
            <w:tcW w:w="5545" w:type="dxa"/>
            <w:shd w:val="clear" w:color="auto" w:fill="auto"/>
          </w:tcPr>
          <w:p w:rsidR="00A84F2E" w:rsidRPr="00DB7D1C" w:rsidRDefault="00A84F2E" w:rsidP="00F13362">
            <w:pPr>
              <w:jc w:val="both"/>
              <w:rPr>
                <w:rFonts w:cs="Calibri"/>
              </w:rPr>
            </w:pPr>
          </w:p>
        </w:tc>
        <w:tc>
          <w:tcPr>
            <w:tcW w:w="3755" w:type="dxa"/>
            <w:shd w:val="clear" w:color="auto" w:fill="auto"/>
          </w:tcPr>
          <w:p w:rsidR="00A84F2E" w:rsidRPr="00DB7D1C" w:rsidRDefault="00A84F2E" w:rsidP="00F13362">
            <w:pPr>
              <w:jc w:val="both"/>
              <w:rPr>
                <w:rFonts w:cs="Calibri"/>
              </w:rPr>
            </w:pPr>
          </w:p>
        </w:tc>
      </w:tr>
      <w:tr w:rsidR="00A84F2E" w:rsidRPr="00AC79C5" w:rsidTr="00F13362">
        <w:trPr>
          <w:trHeight w:val="563"/>
          <w:jc w:val="center"/>
        </w:trPr>
        <w:tc>
          <w:tcPr>
            <w:tcW w:w="5545" w:type="dxa"/>
            <w:shd w:val="clear" w:color="auto" w:fill="auto"/>
          </w:tcPr>
          <w:p w:rsidR="00A84F2E" w:rsidRPr="00DB7D1C" w:rsidRDefault="00A84F2E" w:rsidP="00F13362">
            <w:pPr>
              <w:jc w:val="both"/>
              <w:rPr>
                <w:rFonts w:cs="Calibri"/>
              </w:rPr>
            </w:pPr>
          </w:p>
        </w:tc>
        <w:tc>
          <w:tcPr>
            <w:tcW w:w="3755" w:type="dxa"/>
            <w:shd w:val="clear" w:color="auto" w:fill="auto"/>
          </w:tcPr>
          <w:p w:rsidR="00A84F2E" w:rsidRPr="00DB7D1C" w:rsidRDefault="00A84F2E" w:rsidP="00F13362">
            <w:pPr>
              <w:jc w:val="both"/>
              <w:rPr>
                <w:rFonts w:cs="Calibri"/>
              </w:rPr>
            </w:pPr>
          </w:p>
        </w:tc>
      </w:tr>
      <w:tr w:rsidR="00A84F2E" w:rsidRPr="00AC79C5" w:rsidTr="00F13362">
        <w:trPr>
          <w:trHeight w:val="563"/>
          <w:jc w:val="center"/>
        </w:trPr>
        <w:tc>
          <w:tcPr>
            <w:tcW w:w="5545" w:type="dxa"/>
            <w:shd w:val="clear" w:color="auto" w:fill="auto"/>
          </w:tcPr>
          <w:p w:rsidR="00A84F2E" w:rsidRPr="00DB7D1C" w:rsidRDefault="00A84F2E" w:rsidP="00F13362">
            <w:pPr>
              <w:jc w:val="both"/>
              <w:rPr>
                <w:rFonts w:cs="Calibri"/>
              </w:rPr>
            </w:pPr>
          </w:p>
        </w:tc>
        <w:tc>
          <w:tcPr>
            <w:tcW w:w="3755" w:type="dxa"/>
            <w:shd w:val="clear" w:color="auto" w:fill="auto"/>
          </w:tcPr>
          <w:p w:rsidR="00A84F2E" w:rsidRPr="00DB7D1C" w:rsidRDefault="00A84F2E" w:rsidP="00F13362">
            <w:pPr>
              <w:jc w:val="both"/>
              <w:rPr>
                <w:rFonts w:cs="Calibri"/>
              </w:rPr>
            </w:pPr>
          </w:p>
        </w:tc>
      </w:tr>
      <w:tr w:rsidR="00A84F2E" w:rsidRPr="00AC79C5" w:rsidTr="00F13362">
        <w:trPr>
          <w:trHeight w:val="563"/>
          <w:jc w:val="center"/>
        </w:trPr>
        <w:tc>
          <w:tcPr>
            <w:tcW w:w="5545" w:type="dxa"/>
            <w:shd w:val="clear" w:color="auto" w:fill="auto"/>
          </w:tcPr>
          <w:p w:rsidR="00A84F2E" w:rsidRPr="00DB7D1C" w:rsidRDefault="00A84F2E" w:rsidP="00F13362">
            <w:pPr>
              <w:jc w:val="both"/>
              <w:rPr>
                <w:rFonts w:cs="Calibri"/>
              </w:rPr>
            </w:pPr>
          </w:p>
        </w:tc>
        <w:tc>
          <w:tcPr>
            <w:tcW w:w="3755" w:type="dxa"/>
            <w:shd w:val="clear" w:color="auto" w:fill="auto"/>
          </w:tcPr>
          <w:p w:rsidR="00A84F2E" w:rsidRPr="00DB7D1C" w:rsidRDefault="00A84F2E" w:rsidP="00F13362">
            <w:pPr>
              <w:jc w:val="both"/>
              <w:rPr>
                <w:rFonts w:cs="Calibri"/>
              </w:rPr>
            </w:pPr>
          </w:p>
        </w:tc>
      </w:tr>
    </w:tbl>
    <w:p w:rsidR="00A84F2E" w:rsidRPr="00DB7D1C" w:rsidRDefault="00A84F2E" w:rsidP="00A84F2E">
      <w:pPr>
        <w:rPr>
          <w:rFonts w:cs="Calibri"/>
        </w:rPr>
      </w:pPr>
    </w:p>
    <w:p w:rsidR="00A84F2E" w:rsidRDefault="00A84F2E" w:rsidP="00A84F2E">
      <w:pPr>
        <w:jc w:val="both"/>
      </w:pPr>
    </w:p>
    <w:p w:rsidR="00A84F2E" w:rsidRPr="00B330B2" w:rsidRDefault="00A84F2E" w:rsidP="00A84F2E">
      <w:pPr>
        <w:jc w:val="both"/>
        <w:rPr>
          <w:rFonts w:cs="Calibri"/>
        </w:rPr>
      </w:pPr>
      <w:r w:rsidRPr="00B330B2">
        <w:rPr>
          <w:rFonts w:cs="Calibri"/>
        </w:rPr>
        <w:t xml:space="preserve">Az 1407/2013/EU bizottsági rendelet szerint csekély összegű támogatás nem halmozható azonos elszámolható költségek vonatkozásában nyújtott állami támogatással vagy olyan kockázatfinanszírozási célú intézkedéssel, amelyhez a 1407/2013/EU bizottsági rendelet szerinti csekély összegű </w:t>
      </w:r>
      <w:r>
        <w:rPr>
          <w:rFonts w:cs="Calibri"/>
        </w:rPr>
        <w:t>támogatást nyújtják</w:t>
      </w:r>
      <w:r w:rsidRPr="00B330B2">
        <w:rPr>
          <w:rFonts w:cs="Calibri"/>
        </w:rPr>
        <w:t>, amennyiben az így halmozott összeg meghaladná a csoportmentességi rendeletekben vagy az Európai Bizottság határozatában meghatározott maximális támogatási intenzitást vagy összeget. Ennek megfelelően a </w:t>
      </w:r>
      <w:r w:rsidRPr="00DB7D1C">
        <w:rPr>
          <w:rFonts w:cs="Calibri"/>
        </w:rPr>
        <w:t>kedvezményezett</w:t>
      </w:r>
      <w:r w:rsidRPr="00DB7D1C">
        <w:rPr>
          <w:rFonts w:cs="Calibri"/>
          <w:bCs/>
        </w:rPr>
        <w:t xml:space="preserve"> </w:t>
      </w:r>
      <w:r w:rsidRPr="00B330B2">
        <w:rPr>
          <w:rFonts w:cs="Calibri"/>
        </w:rPr>
        <w:t>vonatkozásában az alábbiakról nyilatkozom.</w:t>
      </w:r>
      <w:r w:rsidRPr="00B330B2">
        <w:rPr>
          <w:rFonts w:cs="Calibri"/>
          <w:vertAlign w:val="superscript"/>
        </w:rPr>
        <w:footnoteReference w:id="5"/>
      </w:r>
    </w:p>
    <w:p w:rsidR="00A84F2E" w:rsidRPr="00B330B2" w:rsidRDefault="00A84F2E" w:rsidP="00A84F2E">
      <w:pPr>
        <w:jc w:val="both"/>
        <w:rPr>
          <w:rFonts w:cs="Calibri"/>
        </w:rPr>
      </w:pPr>
    </w:p>
    <w:p w:rsidR="00A84F2E" w:rsidRDefault="00A84F2E" w:rsidP="00A84F2E">
      <w:pPr>
        <w:jc w:val="both"/>
        <w:rPr>
          <w:rFonts w:cs="Calibri"/>
        </w:rPr>
      </w:pPr>
      <w:r w:rsidRPr="00B330B2">
        <w:rPr>
          <w:rFonts w:cs="Calibri"/>
        </w:rPr>
        <w:t xml:space="preserve">Nyilatkozatom arra is kiterjed, hogy </w:t>
      </w:r>
      <w:r w:rsidRPr="00087DFB">
        <w:rPr>
          <w:rFonts w:cs="Calibri"/>
        </w:rPr>
        <w:t xml:space="preserve">a </w:t>
      </w:r>
      <w:r>
        <w:rPr>
          <w:rFonts w:cs="Calibri"/>
        </w:rPr>
        <w:t xml:space="preserve">kedvezményezett milyen, a jelen nyilatkozattal érintett </w:t>
      </w:r>
      <w:r w:rsidRPr="00087DFB">
        <w:rPr>
          <w:rFonts w:cs="Calibri"/>
        </w:rPr>
        <w:t xml:space="preserve">csekély összegű </w:t>
      </w:r>
      <w:r>
        <w:rPr>
          <w:rFonts w:cs="Calibri"/>
        </w:rPr>
        <w:t xml:space="preserve">támogatás elszámolható költségeivel </w:t>
      </w:r>
      <w:r w:rsidRPr="00B330B2">
        <w:rPr>
          <w:rFonts w:cs="Calibri"/>
        </w:rPr>
        <w:t xml:space="preserve">azonos elszámolható költséget tartalmazó, vagy milyen kockázatfinanszírozási célú intézkedésre </w:t>
      </w:r>
      <w:r w:rsidRPr="00087DFB">
        <w:rPr>
          <w:rFonts w:cs="Calibri"/>
        </w:rPr>
        <w:t>nyújtott be támogatási kérelmet</w:t>
      </w:r>
      <w:r>
        <w:rPr>
          <w:rFonts w:cs="Calibri"/>
        </w:rPr>
        <w:t xml:space="preserve">, amelyhez a jelen nyilatkozattal érintett </w:t>
      </w:r>
      <w:r w:rsidRPr="00087DFB">
        <w:rPr>
          <w:rFonts w:cs="Calibri"/>
        </w:rPr>
        <w:t xml:space="preserve">csekély összegű </w:t>
      </w:r>
      <w:r>
        <w:rPr>
          <w:rFonts w:cs="Calibri"/>
        </w:rPr>
        <w:t>támogatás</w:t>
      </w:r>
      <w:r w:rsidRPr="00B330B2">
        <w:rPr>
          <w:rFonts w:cs="Calibri"/>
        </w:rPr>
        <w:t>t is kéri</w:t>
      </w:r>
      <w:r>
        <w:rPr>
          <w:rFonts w:cs="Calibri"/>
        </w:rPr>
        <w:t xml:space="preserve"> </w:t>
      </w:r>
      <w:r w:rsidRPr="00087DFB">
        <w:rPr>
          <w:rFonts w:cs="Calibri"/>
        </w:rPr>
        <w:t>(az elutasított kérelmekről nem kell nyilatkozni, csak azokról, amel</w:t>
      </w:r>
      <w:r>
        <w:rPr>
          <w:rFonts w:cs="Calibri"/>
        </w:rPr>
        <w:t>yek elbírálása folyamatban van).</w:t>
      </w:r>
    </w:p>
    <w:p w:rsidR="00A84F2E" w:rsidRPr="00B330B2" w:rsidRDefault="00A84F2E" w:rsidP="00A84F2E">
      <w:pPr>
        <w:jc w:val="both"/>
        <w:rPr>
          <w:rFonts w:cs="Calibri"/>
        </w:rPr>
      </w:pPr>
    </w:p>
    <w:p w:rsidR="00A84F2E" w:rsidRDefault="00A84F2E" w:rsidP="00A84F2E">
      <w:pPr>
        <w:jc w:val="both"/>
        <w:rPr>
          <w:rFonts w:cs="Calibri"/>
        </w:rPr>
        <w:sectPr w:rsidR="00A84F2E" w:rsidSect="00420C4B">
          <w:pgSz w:w="11906" w:h="16838"/>
          <w:pgMar w:top="1417" w:right="1417" w:bottom="1417" w:left="1417" w:header="708" w:footer="708" w:gutter="0"/>
          <w:cols w:space="708"/>
          <w:docGrid w:linePitch="360"/>
        </w:sectPr>
      </w:pPr>
    </w:p>
    <w:tbl>
      <w:tblPr>
        <w:tblpPr w:leftFromText="141" w:rightFromText="141" w:vertAnchor="text" w:horzAnchor="margin" w:tblpY="-595"/>
        <w:tblW w:w="518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2"/>
        <w:gridCol w:w="1256"/>
        <w:gridCol w:w="1533"/>
        <w:gridCol w:w="1812"/>
        <w:gridCol w:w="1673"/>
        <w:gridCol w:w="1812"/>
        <w:gridCol w:w="1113"/>
        <w:gridCol w:w="1119"/>
        <w:gridCol w:w="1392"/>
        <w:gridCol w:w="701"/>
        <w:gridCol w:w="1395"/>
      </w:tblGrid>
      <w:tr w:rsidR="00A84F2E" w:rsidRPr="00AC79C5" w:rsidTr="00F13362">
        <w:trPr>
          <w:trHeight w:val="777"/>
        </w:trPr>
        <w:tc>
          <w:tcPr>
            <w:tcW w:w="14753" w:type="dxa"/>
            <w:gridSpan w:val="11"/>
            <w:vAlign w:val="center"/>
          </w:tcPr>
          <w:p w:rsidR="00A84F2E" w:rsidRPr="00DB7D1C" w:rsidRDefault="00A84F2E" w:rsidP="00F13362">
            <w:pPr>
              <w:jc w:val="both"/>
              <w:rPr>
                <w:rFonts w:cs="Calibri"/>
                <w:b/>
                <w:color w:val="000000"/>
                <w:lang w:val="lv-LV"/>
              </w:rPr>
            </w:pPr>
            <w:r w:rsidRPr="00DB7D1C">
              <w:rPr>
                <w:rFonts w:cs="Calibri"/>
                <w:b/>
                <w:lang w:val="lv-LV"/>
              </w:rPr>
              <w:lastRenderedPageBreak/>
              <w:t>4. Adatok az azonos elszámolható költségek vagy a csekély összegű támogatással azonos célú kockázatfinanszírozási célú intézkedés vonatkozásában nyújtott állami támogatásokra</w:t>
            </w:r>
          </w:p>
        </w:tc>
      </w:tr>
      <w:tr w:rsidR="00A84F2E" w:rsidRPr="00AC79C5" w:rsidTr="00F13362">
        <w:trPr>
          <w:trHeight w:val="3392"/>
        </w:trPr>
        <w:tc>
          <w:tcPr>
            <w:tcW w:w="722" w:type="dxa"/>
            <w:vMerge w:val="restart"/>
            <w:vAlign w:val="center"/>
          </w:tcPr>
          <w:p w:rsidR="00A84F2E" w:rsidRPr="00DB7D1C" w:rsidRDefault="00A84F2E" w:rsidP="00F13362">
            <w:pPr>
              <w:jc w:val="center"/>
              <w:rPr>
                <w:rFonts w:cs="Calibri"/>
                <w:b/>
              </w:rPr>
            </w:pPr>
            <w:r w:rsidRPr="00DB7D1C">
              <w:rPr>
                <w:rFonts w:cs="Calibri"/>
                <w:b/>
              </w:rPr>
              <w:t>Sor-szám</w:t>
            </w:r>
          </w:p>
        </w:tc>
        <w:tc>
          <w:tcPr>
            <w:tcW w:w="1276" w:type="dxa"/>
            <w:vMerge w:val="restart"/>
            <w:vAlign w:val="center"/>
          </w:tcPr>
          <w:p w:rsidR="00A84F2E" w:rsidRPr="00DB7D1C" w:rsidRDefault="00A84F2E" w:rsidP="00F13362">
            <w:pPr>
              <w:jc w:val="center"/>
              <w:rPr>
                <w:rFonts w:cs="Calibri"/>
                <w:b/>
              </w:rPr>
            </w:pPr>
            <w:r w:rsidRPr="00DB7D1C">
              <w:rPr>
                <w:rFonts w:cs="Calibri"/>
                <w:b/>
              </w:rPr>
              <w:t xml:space="preserve">Támogatás </w:t>
            </w:r>
            <w:r w:rsidRPr="00DB7D1C">
              <w:rPr>
                <w:rFonts w:cs="Calibri"/>
                <w:b/>
                <w:lang w:val="lv-LV"/>
              </w:rPr>
              <w:t>jogalapja</w:t>
            </w:r>
            <w:r w:rsidRPr="00DB7D1C">
              <w:rPr>
                <w:rFonts w:cs="Calibri"/>
                <w:b/>
              </w:rPr>
              <w:t xml:space="preserve"> (uniós állami támogatási szabály)</w:t>
            </w:r>
          </w:p>
        </w:tc>
        <w:tc>
          <w:tcPr>
            <w:tcW w:w="1559" w:type="dxa"/>
            <w:vMerge w:val="restart"/>
            <w:vAlign w:val="center"/>
          </w:tcPr>
          <w:p w:rsidR="00A84F2E" w:rsidRPr="00DB7D1C" w:rsidRDefault="00A84F2E" w:rsidP="00F13362">
            <w:pPr>
              <w:jc w:val="center"/>
              <w:rPr>
                <w:rFonts w:cs="Calibri"/>
                <w:b/>
              </w:rPr>
            </w:pPr>
            <w:r w:rsidRPr="00DB7D1C">
              <w:rPr>
                <w:rFonts w:cs="Calibri"/>
                <w:b/>
              </w:rPr>
              <w:t>Támogatást nyújtó szervezet</w:t>
            </w:r>
          </w:p>
        </w:tc>
        <w:tc>
          <w:tcPr>
            <w:tcW w:w="1843" w:type="dxa"/>
            <w:vMerge w:val="restart"/>
            <w:vAlign w:val="center"/>
          </w:tcPr>
          <w:p w:rsidR="00A84F2E" w:rsidRPr="00DB7D1C" w:rsidRDefault="00A84F2E" w:rsidP="00F13362">
            <w:pPr>
              <w:jc w:val="center"/>
              <w:rPr>
                <w:rFonts w:cs="Calibri"/>
                <w:b/>
                <w:lang w:val="lv-LV"/>
              </w:rPr>
            </w:pPr>
            <w:r w:rsidRPr="00DB7D1C">
              <w:rPr>
                <w:rFonts w:cs="Calibri"/>
                <w:b/>
                <w:lang w:val="lv-LV"/>
              </w:rPr>
              <w:t>Támogatási kategória</w:t>
            </w:r>
          </w:p>
          <w:p w:rsidR="00A84F2E" w:rsidRPr="00DB7D1C" w:rsidRDefault="00A84F2E" w:rsidP="00F13362">
            <w:pPr>
              <w:jc w:val="center"/>
              <w:rPr>
                <w:rFonts w:cs="Calibri"/>
                <w:b/>
              </w:rPr>
            </w:pPr>
            <w:r w:rsidRPr="00DB7D1C">
              <w:rPr>
                <w:rFonts w:cs="Calibri"/>
                <w:b/>
                <w:lang w:val="lv-LV"/>
              </w:rPr>
              <w:t>(pl. regionális beruházási támogatás)</w:t>
            </w:r>
          </w:p>
        </w:tc>
        <w:tc>
          <w:tcPr>
            <w:tcW w:w="1701" w:type="dxa"/>
            <w:vMerge w:val="restart"/>
            <w:vAlign w:val="center"/>
          </w:tcPr>
          <w:p w:rsidR="00A84F2E" w:rsidRPr="00DB7D1C" w:rsidRDefault="00A84F2E" w:rsidP="00F13362">
            <w:pPr>
              <w:jc w:val="center"/>
              <w:rPr>
                <w:rFonts w:cs="Calibri"/>
                <w:b/>
              </w:rPr>
            </w:pPr>
            <w:r w:rsidRPr="00DB7D1C">
              <w:rPr>
                <w:rFonts w:cs="Calibri"/>
                <w:b/>
              </w:rPr>
              <w:t>Kérelem benyújtásának dátuma</w:t>
            </w:r>
            <w:r w:rsidRPr="00DB7D1C">
              <w:rPr>
                <w:rStyle w:val="Lbjegyzet-hivatkozs"/>
                <w:rFonts w:cs="Calibri"/>
                <w:b/>
              </w:rPr>
              <w:footnoteReference w:id="6"/>
            </w:r>
          </w:p>
        </w:tc>
        <w:tc>
          <w:tcPr>
            <w:tcW w:w="1843" w:type="dxa"/>
            <w:vMerge w:val="restart"/>
            <w:vAlign w:val="center"/>
          </w:tcPr>
          <w:p w:rsidR="00A84F2E" w:rsidRPr="00DB7D1C" w:rsidRDefault="00A84F2E" w:rsidP="00F13362">
            <w:pPr>
              <w:jc w:val="center"/>
              <w:rPr>
                <w:rFonts w:cs="Calibri"/>
                <w:b/>
              </w:rPr>
            </w:pPr>
            <w:r w:rsidRPr="00DB7D1C">
              <w:rPr>
                <w:rFonts w:cs="Calibri"/>
                <w:b/>
              </w:rPr>
              <w:t>Odaítélés dátuma</w:t>
            </w:r>
          </w:p>
        </w:tc>
        <w:tc>
          <w:tcPr>
            <w:tcW w:w="2266" w:type="dxa"/>
            <w:gridSpan w:val="2"/>
          </w:tcPr>
          <w:p w:rsidR="00A84F2E" w:rsidRPr="00DB7D1C" w:rsidRDefault="00A84F2E" w:rsidP="00F13362">
            <w:pPr>
              <w:jc w:val="center"/>
              <w:rPr>
                <w:rFonts w:cs="Calibri"/>
                <w:b/>
              </w:rPr>
            </w:pPr>
            <w:r w:rsidRPr="00DB7D1C">
              <w:rPr>
                <w:rFonts w:cs="Calibri"/>
                <w:b/>
                <w:lang w:val="lv-LV"/>
              </w:rPr>
              <w:t>Azonos elszámolható költségek teljes összege jelentértéken</w:t>
            </w:r>
          </w:p>
        </w:tc>
        <w:tc>
          <w:tcPr>
            <w:tcW w:w="2125" w:type="dxa"/>
            <w:gridSpan w:val="2"/>
          </w:tcPr>
          <w:p w:rsidR="00A84F2E" w:rsidRPr="00DB7D1C" w:rsidRDefault="00A84F2E" w:rsidP="00F13362">
            <w:pPr>
              <w:jc w:val="center"/>
              <w:rPr>
                <w:rFonts w:cs="Calibri"/>
                <w:b/>
              </w:rPr>
            </w:pPr>
            <w:r w:rsidRPr="00DB7D1C">
              <w:rPr>
                <w:rFonts w:cs="Calibri"/>
                <w:b/>
                <w:lang w:val="lv-LV"/>
              </w:rPr>
              <w:t>Azonos kockázatfinanszíro-zási célú intézkedés vonatkozásában nyújtott állami támogatás bruttó támogatástartalma / azonos elszámolható költségek vonatkozásában nyújtott állami támogatás bruttó támogatástartalma</w:t>
            </w:r>
            <w:r w:rsidRPr="00DB7D1C">
              <w:rPr>
                <w:rStyle w:val="Lbjegyzet-hivatkozs"/>
                <w:rFonts w:cs="Calibri"/>
                <w:b/>
              </w:rPr>
              <w:footnoteReference w:id="7"/>
            </w:r>
          </w:p>
        </w:tc>
        <w:tc>
          <w:tcPr>
            <w:tcW w:w="1418" w:type="dxa"/>
            <w:vMerge w:val="restart"/>
          </w:tcPr>
          <w:p w:rsidR="00A84F2E" w:rsidRPr="00DB7D1C" w:rsidRDefault="00A84F2E" w:rsidP="00F13362">
            <w:pPr>
              <w:jc w:val="center"/>
              <w:rPr>
                <w:rFonts w:cs="Calibri"/>
                <w:b/>
                <w:lang w:val="lv-LV"/>
              </w:rPr>
            </w:pPr>
            <w:r w:rsidRPr="00DB7D1C">
              <w:rPr>
                <w:rFonts w:cs="Calibri"/>
                <w:b/>
                <w:color w:val="000000"/>
                <w:lang w:val="lv-LV"/>
              </w:rPr>
              <w:t xml:space="preserve">Maximális támogatási intezitás </w:t>
            </w:r>
            <w:r w:rsidRPr="00DB7D1C">
              <w:rPr>
                <w:rFonts w:cs="Calibri"/>
                <w:b/>
                <w:lang w:val="lv-LV"/>
              </w:rPr>
              <w:t>(</w:t>
            </w:r>
            <w:r w:rsidRPr="00DB7D1C">
              <w:rPr>
                <w:rFonts w:cs="Calibri"/>
                <w:b/>
                <w:i/>
                <w:lang w:val="lv-LV"/>
              </w:rPr>
              <w:t>%</w:t>
            </w:r>
            <w:r w:rsidRPr="00DB7D1C">
              <w:rPr>
                <w:rFonts w:cs="Calibri"/>
                <w:b/>
                <w:lang w:val="lv-LV"/>
              </w:rPr>
              <w:t>) vagy maximális támogatási összeg</w:t>
            </w:r>
          </w:p>
        </w:tc>
      </w:tr>
      <w:tr w:rsidR="00A84F2E" w:rsidRPr="00AC79C5" w:rsidTr="00F13362">
        <w:trPr>
          <w:trHeight w:val="77"/>
        </w:trPr>
        <w:tc>
          <w:tcPr>
            <w:tcW w:w="722" w:type="dxa"/>
            <w:vMerge/>
            <w:vAlign w:val="center"/>
          </w:tcPr>
          <w:p w:rsidR="00A84F2E" w:rsidRPr="00DB7D1C" w:rsidRDefault="00A84F2E" w:rsidP="00F13362">
            <w:pPr>
              <w:jc w:val="center"/>
              <w:rPr>
                <w:rFonts w:cs="Calibri"/>
                <w:b/>
              </w:rPr>
            </w:pPr>
          </w:p>
        </w:tc>
        <w:tc>
          <w:tcPr>
            <w:tcW w:w="1276" w:type="dxa"/>
            <w:vMerge/>
            <w:vAlign w:val="center"/>
          </w:tcPr>
          <w:p w:rsidR="00A84F2E" w:rsidRPr="00DB7D1C" w:rsidRDefault="00A84F2E" w:rsidP="00F13362">
            <w:pPr>
              <w:jc w:val="center"/>
              <w:rPr>
                <w:rFonts w:cs="Calibri"/>
                <w:b/>
              </w:rPr>
            </w:pPr>
          </w:p>
        </w:tc>
        <w:tc>
          <w:tcPr>
            <w:tcW w:w="1559" w:type="dxa"/>
            <w:vMerge/>
            <w:vAlign w:val="center"/>
          </w:tcPr>
          <w:p w:rsidR="00A84F2E" w:rsidRPr="00DB7D1C" w:rsidRDefault="00A84F2E" w:rsidP="00F13362">
            <w:pPr>
              <w:jc w:val="center"/>
              <w:rPr>
                <w:rFonts w:cs="Calibri"/>
                <w:b/>
              </w:rPr>
            </w:pPr>
          </w:p>
        </w:tc>
        <w:tc>
          <w:tcPr>
            <w:tcW w:w="1843" w:type="dxa"/>
            <w:vMerge/>
            <w:vAlign w:val="center"/>
          </w:tcPr>
          <w:p w:rsidR="00A84F2E" w:rsidRPr="00DB7D1C" w:rsidRDefault="00A84F2E" w:rsidP="00F13362">
            <w:pPr>
              <w:jc w:val="center"/>
              <w:rPr>
                <w:rFonts w:cs="Calibri"/>
                <w:b/>
              </w:rPr>
            </w:pPr>
          </w:p>
        </w:tc>
        <w:tc>
          <w:tcPr>
            <w:tcW w:w="1701" w:type="dxa"/>
            <w:vMerge/>
            <w:vAlign w:val="center"/>
          </w:tcPr>
          <w:p w:rsidR="00A84F2E" w:rsidRPr="00DB7D1C" w:rsidRDefault="00A84F2E" w:rsidP="00F13362">
            <w:pPr>
              <w:jc w:val="center"/>
              <w:rPr>
                <w:rFonts w:cs="Calibri"/>
                <w:b/>
              </w:rPr>
            </w:pPr>
          </w:p>
        </w:tc>
        <w:tc>
          <w:tcPr>
            <w:tcW w:w="1843" w:type="dxa"/>
            <w:vMerge/>
            <w:vAlign w:val="center"/>
          </w:tcPr>
          <w:p w:rsidR="00A84F2E" w:rsidRPr="00DB7D1C" w:rsidRDefault="00A84F2E" w:rsidP="00F13362">
            <w:pPr>
              <w:jc w:val="center"/>
              <w:rPr>
                <w:rFonts w:cs="Calibri"/>
                <w:b/>
              </w:rPr>
            </w:pPr>
          </w:p>
        </w:tc>
        <w:tc>
          <w:tcPr>
            <w:tcW w:w="1130" w:type="dxa"/>
          </w:tcPr>
          <w:p w:rsidR="00A84F2E" w:rsidRPr="00DB7D1C" w:rsidRDefault="00A84F2E" w:rsidP="00F13362">
            <w:pPr>
              <w:jc w:val="center"/>
              <w:rPr>
                <w:rFonts w:cs="Calibri"/>
                <w:b/>
              </w:rPr>
            </w:pPr>
            <w:r w:rsidRPr="00DB7D1C">
              <w:rPr>
                <w:rFonts w:cs="Calibri"/>
                <w:b/>
              </w:rPr>
              <w:t>Forint</w:t>
            </w:r>
          </w:p>
        </w:tc>
        <w:tc>
          <w:tcPr>
            <w:tcW w:w="1136" w:type="dxa"/>
          </w:tcPr>
          <w:p w:rsidR="00A84F2E" w:rsidRPr="00DB7D1C" w:rsidRDefault="00A84F2E" w:rsidP="00F13362">
            <w:pPr>
              <w:jc w:val="center"/>
              <w:rPr>
                <w:rFonts w:cs="Calibri"/>
                <w:b/>
              </w:rPr>
            </w:pPr>
            <w:r w:rsidRPr="00DB7D1C">
              <w:rPr>
                <w:rFonts w:cs="Calibri"/>
                <w:b/>
              </w:rPr>
              <w:t>Euró</w:t>
            </w:r>
          </w:p>
        </w:tc>
        <w:tc>
          <w:tcPr>
            <w:tcW w:w="1415" w:type="dxa"/>
          </w:tcPr>
          <w:p w:rsidR="00A84F2E" w:rsidRPr="00DB7D1C" w:rsidRDefault="00A84F2E" w:rsidP="00F13362">
            <w:pPr>
              <w:jc w:val="center"/>
              <w:rPr>
                <w:rFonts w:cs="Calibri"/>
                <w:b/>
              </w:rPr>
            </w:pPr>
            <w:r w:rsidRPr="00DB7D1C">
              <w:rPr>
                <w:rFonts w:cs="Calibri"/>
                <w:b/>
              </w:rPr>
              <w:t>Forint</w:t>
            </w:r>
          </w:p>
        </w:tc>
        <w:tc>
          <w:tcPr>
            <w:tcW w:w="710" w:type="dxa"/>
          </w:tcPr>
          <w:p w:rsidR="00A84F2E" w:rsidRPr="00DB7D1C" w:rsidRDefault="00A84F2E" w:rsidP="00F13362">
            <w:pPr>
              <w:jc w:val="center"/>
              <w:rPr>
                <w:rFonts w:cs="Calibri"/>
                <w:b/>
              </w:rPr>
            </w:pPr>
            <w:r w:rsidRPr="00DB7D1C">
              <w:rPr>
                <w:rFonts w:cs="Calibri"/>
                <w:b/>
              </w:rPr>
              <w:t>Euró</w:t>
            </w:r>
            <w:r w:rsidRPr="00DB7D1C">
              <w:rPr>
                <w:rStyle w:val="Lbjegyzet-hivatkozs"/>
                <w:rFonts w:cs="Calibri"/>
                <w:b/>
              </w:rPr>
              <w:footnoteReference w:id="8"/>
            </w:r>
          </w:p>
        </w:tc>
        <w:tc>
          <w:tcPr>
            <w:tcW w:w="1418" w:type="dxa"/>
            <w:vMerge/>
          </w:tcPr>
          <w:p w:rsidR="00A84F2E" w:rsidRPr="00DB7D1C" w:rsidRDefault="00A84F2E" w:rsidP="00F13362">
            <w:pPr>
              <w:jc w:val="center"/>
              <w:rPr>
                <w:rFonts w:cs="Calibri"/>
                <w:b/>
              </w:rPr>
            </w:pPr>
          </w:p>
        </w:tc>
      </w:tr>
      <w:tr w:rsidR="00A84F2E" w:rsidRPr="00AC79C5" w:rsidTr="00F13362">
        <w:trPr>
          <w:trHeight w:val="1230"/>
        </w:trPr>
        <w:tc>
          <w:tcPr>
            <w:tcW w:w="722" w:type="dxa"/>
          </w:tcPr>
          <w:p w:rsidR="00A84F2E" w:rsidRPr="00DB7D1C" w:rsidRDefault="00A84F2E" w:rsidP="00F13362">
            <w:pPr>
              <w:jc w:val="center"/>
              <w:rPr>
                <w:rFonts w:cs="Calibri"/>
              </w:rPr>
            </w:pPr>
          </w:p>
        </w:tc>
        <w:tc>
          <w:tcPr>
            <w:tcW w:w="1276" w:type="dxa"/>
          </w:tcPr>
          <w:p w:rsidR="00A84F2E" w:rsidRPr="00DB7D1C" w:rsidRDefault="00A84F2E" w:rsidP="00F13362">
            <w:pPr>
              <w:jc w:val="center"/>
              <w:rPr>
                <w:rFonts w:cs="Calibri"/>
              </w:rPr>
            </w:pPr>
          </w:p>
        </w:tc>
        <w:tc>
          <w:tcPr>
            <w:tcW w:w="1559" w:type="dxa"/>
          </w:tcPr>
          <w:p w:rsidR="00A84F2E" w:rsidRPr="00DB7D1C" w:rsidRDefault="00A84F2E" w:rsidP="00F13362">
            <w:pPr>
              <w:jc w:val="center"/>
              <w:rPr>
                <w:rFonts w:cs="Calibri"/>
              </w:rPr>
            </w:pPr>
          </w:p>
        </w:tc>
        <w:tc>
          <w:tcPr>
            <w:tcW w:w="1843" w:type="dxa"/>
          </w:tcPr>
          <w:p w:rsidR="00A84F2E" w:rsidRPr="00DB7D1C" w:rsidRDefault="00A84F2E" w:rsidP="00F13362">
            <w:pPr>
              <w:jc w:val="center"/>
              <w:rPr>
                <w:rFonts w:cs="Calibri"/>
              </w:rPr>
            </w:pPr>
          </w:p>
        </w:tc>
        <w:tc>
          <w:tcPr>
            <w:tcW w:w="1701" w:type="dxa"/>
          </w:tcPr>
          <w:p w:rsidR="00A84F2E" w:rsidRPr="00DB7D1C" w:rsidRDefault="00A84F2E" w:rsidP="00F13362">
            <w:pPr>
              <w:jc w:val="center"/>
              <w:rPr>
                <w:rFonts w:cs="Calibri"/>
              </w:rPr>
            </w:pPr>
          </w:p>
        </w:tc>
        <w:tc>
          <w:tcPr>
            <w:tcW w:w="1843" w:type="dxa"/>
          </w:tcPr>
          <w:p w:rsidR="00A84F2E" w:rsidRPr="00DB7D1C" w:rsidRDefault="00A84F2E" w:rsidP="00F13362">
            <w:pPr>
              <w:jc w:val="center"/>
              <w:rPr>
                <w:rFonts w:cs="Calibri"/>
              </w:rPr>
            </w:pPr>
          </w:p>
        </w:tc>
        <w:tc>
          <w:tcPr>
            <w:tcW w:w="1130" w:type="dxa"/>
          </w:tcPr>
          <w:p w:rsidR="00A84F2E" w:rsidRPr="00DB7D1C" w:rsidRDefault="00A84F2E" w:rsidP="00F13362">
            <w:pPr>
              <w:jc w:val="center"/>
              <w:rPr>
                <w:rFonts w:cs="Calibri"/>
              </w:rPr>
            </w:pPr>
          </w:p>
        </w:tc>
        <w:tc>
          <w:tcPr>
            <w:tcW w:w="1136" w:type="dxa"/>
          </w:tcPr>
          <w:p w:rsidR="00A84F2E" w:rsidRPr="00DB7D1C" w:rsidRDefault="00A84F2E" w:rsidP="00F13362">
            <w:pPr>
              <w:jc w:val="center"/>
              <w:rPr>
                <w:rFonts w:cs="Calibri"/>
              </w:rPr>
            </w:pPr>
          </w:p>
        </w:tc>
        <w:tc>
          <w:tcPr>
            <w:tcW w:w="1415" w:type="dxa"/>
          </w:tcPr>
          <w:p w:rsidR="00A84F2E" w:rsidRPr="00DB7D1C" w:rsidRDefault="00A84F2E" w:rsidP="00F13362">
            <w:pPr>
              <w:jc w:val="center"/>
              <w:rPr>
                <w:rFonts w:cs="Calibri"/>
              </w:rPr>
            </w:pPr>
          </w:p>
        </w:tc>
        <w:tc>
          <w:tcPr>
            <w:tcW w:w="710" w:type="dxa"/>
          </w:tcPr>
          <w:p w:rsidR="00A84F2E" w:rsidRPr="00DB7D1C" w:rsidRDefault="00A84F2E" w:rsidP="00F13362">
            <w:pPr>
              <w:jc w:val="center"/>
              <w:rPr>
                <w:rFonts w:cs="Calibri"/>
              </w:rPr>
            </w:pPr>
          </w:p>
        </w:tc>
        <w:tc>
          <w:tcPr>
            <w:tcW w:w="1418" w:type="dxa"/>
          </w:tcPr>
          <w:p w:rsidR="00A84F2E" w:rsidRPr="00DB7D1C" w:rsidRDefault="00A84F2E" w:rsidP="00F13362">
            <w:pPr>
              <w:jc w:val="center"/>
              <w:rPr>
                <w:rFonts w:cs="Calibri"/>
              </w:rPr>
            </w:pPr>
          </w:p>
        </w:tc>
      </w:tr>
      <w:tr w:rsidR="00A84F2E" w:rsidRPr="00AC79C5" w:rsidTr="00F13362">
        <w:trPr>
          <w:trHeight w:val="1269"/>
        </w:trPr>
        <w:tc>
          <w:tcPr>
            <w:tcW w:w="722" w:type="dxa"/>
          </w:tcPr>
          <w:p w:rsidR="00A84F2E" w:rsidRPr="00DB7D1C" w:rsidRDefault="00A84F2E" w:rsidP="00F13362">
            <w:pPr>
              <w:jc w:val="center"/>
              <w:rPr>
                <w:rFonts w:cs="Calibri"/>
              </w:rPr>
            </w:pPr>
          </w:p>
        </w:tc>
        <w:tc>
          <w:tcPr>
            <w:tcW w:w="1276" w:type="dxa"/>
          </w:tcPr>
          <w:p w:rsidR="00A84F2E" w:rsidRPr="00DB7D1C" w:rsidRDefault="00A84F2E" w:rsidP="00F13362">
            <w:pPr>
              <w:jc w:val="center"/>
              <w:rPr>
                <w:rFonts w:cs="Calibri"/>
              </w:rPr>
            </w:pPr>
          </w:p>
        </w:tc>
        <w:tc>
          <w:tcPr>
            <w:tcW w:w="1559" w:type="dxa"/>
          </w:tcPr>
          <w:p w:rsidR="00A84F2E" w:rsidRPr="00DB7D1C" w:rsidRDefault="00A84F2E" w:rsidP="00F13362">
            <w:pPr>
              <w:jc w:val="center"/>
              <w:rPr>
                <w:rFonts w:cs="Calibri"/>
              </w:rPr>
            </w:pPr>
          </w:p>
        </w:tc>
        <w:tc>
          <w:tcPr>
            <w:tcW w:w="1843" w:type="dxa"/>
          </w:tcPr>
          <w:p w:rsidR="00A84F2E" w:rsidRPr="00DB7D1C" w:rsidRDefault="00A84F2E" w:rsidP="00F13362">
            <w:pPr>
              <w:jc w:val="center"/>
              <w:rPr>
                <w:rFonts w:cs="Calibri"/>
              </w:rPr>
            </w:pPr>
          </w:p>
        </w:tc>
        <w:tc>
          <w:tcPr>
            <w:tcW w:w="1701" w:type="dxa"/>
          </w:tcPr>
          <w:p w:rsidR="00A84F2E" w:rsidRPr="00DB7D1C" w:rsidRDefault="00A84F2E" w:rsidP="00F13362">
            <w:pPr>
              <w:jc w:val="center"/>
              <w:rPr>
                <w:rFonts w:cs="Calibri"/>
              </w:rPr>
            </w:pPr>
          </w:p>
        </w:tc>
        <w:tc>
          <w:tcPr>
            <w:tcW w:w="1843" w:type="dxa"/>
          </w:tcPr>
          <w:p w:rsidR="00A84F2E" w:rsidRPr="00DB7D1C" w:rsidRDefault="00A84F2E" w:rsidP="00F13362">
            <w:pPr>
              <w:jc w:val="center"/>
              <w:rPr>
                <w:rFonts w:cs="Calibri"/>
              </w:rPr>
            </w:pPr>
          </w:p>
        </w:tc>
        <w:tc>
          <w:tcPr>
            <w:tcW w:w="1130" w:type="dxa"/>
          </w:tcPr>
          <w:p w:rsidR="00A84F2E" w:rsidRPr="00DB7D1C" w:rsidRDefault="00A84F2E" w:rsidP="00F13362">
            <w:pPr>
              <w:jc w:val="center"/>
              <w:rPr>
                <w:rFonts w:cs="Calibri"/>
              </w:rPr>
            </w:pPr>
          </w:p>
        </w:tc>
        <w:tc>
          <w:tcPr>
            <w:tcW w:w="1136" w:type="dxa"/>
          </w:tcPr>
          <w:p w:rsidR="00A84F2E" w:rsidRPr="00DB7D1C" w:rsidRDefault="00A84F2E" w:rsidP="00F13362">
            <w:pPr>
              <w:jc w:val="center"/>
              <w:rPr>
                <w:rFonts w:cs="Calibri"/>
              </w:rPr>
            </w:pPr>
          </w:p>
        </w:tc>
        <w:tc>
          <w:tcPr>
            <w:tcW w:w="1415" w:type="dxa"/>
          </w:tcPr>
          <w:p w:rsidR="00A84F2E" w:rsidRPr="00DB7D1C" w:rsidRDefault="00A84F2E" w:rsidP="00F13362">
            <w:pPr>
              <w:jc w:val="center"/>
              <w:rPr>
                <w:rFonts w:cs="Calibri"/>
              </w:rPr>
            </w:pPr>
          </w:p>
        </w:tc>
        <w:tc>
          <w:tcPr>
            <w:tcW w:w="710" w:type="dxa"/>
          </w:tcPr>
          <w:p w:rsidR="00A84F2E" w:rsidRPr="00DB7D1C" w:rsidRDefault="00A84F2E" w:rsidP="00F13362">
            <w:pPr>
              <w:jc w:val="center"/>
              <w:rPr>
                <w:rFonts w:cs="Calibri"/>
              </w:rPr>
            </w:pPr>
          </w:p>
        </w:tc>
        <w:tc>
          <w:tcPr>
            <w:tcW w:w="1418" w:type="dxa"/>
          </w:tcPr>
          <w:p w:rsidR="00A84F2E" w:rsidRPr="00DB7D1C" w:rsidRDefault="00A84F2E" w:rsidP="00F13362">
            <w:pPr>
              <w:jc w:val="center"/>
              <w:rPr>
                <w:rFonts w:cs="Calibri"/>
              </w:rPr>
            </w:pPr>
          </w:p>
        </w:tc>
      </w:tr>
    </w:tbl>
    <w:p w:rsidR="00A84F2E" w:rsidRPr="00DB7D1C" w:rsidRDefault="00A84F2E" w:rsidP="00A84F2E">
      <w:pPr>
        <w:rPr>
          <w:rFonts w:cs="Calibri"/>
        </w:rPr>
      </w:pPr>
    </w:p>
    <w:p w:rsidR="00A84F2E" w:rsidRPr="00DB7D1C" w:rsidRDefault="00A84F2E" w:rsidP="00A84F2E">
      <w:pPr>
        <w:rPr>
          <w:rFonts w:cs="Calibri"/>
        </w:rPr>
        <w:sectPr w:rsidR="00A84F2E" w:rsidRPr="00DB7D1C" w:rsidSect="00420C4B">
          <w:pgSz w:w="16838" w:h="11906" w:orient="landscape"/>
          <w:pgMar w:top="1418" w:right="1418" w:bottom="1418" w:left="1418" w:header="709" w:footer="709" w:gutter="0"/>
          <w:cols w:space="708"/>
          <w:docGrid w:linePitch="360"/>
        </w:sectPr>
      </w:pPr>
    </w:p>
    <w:p w:rsidR="00A84F2E" w:rsidRPr="00DB7D1C" w:rsidRDefault="00A84F2E" w:rsidP="00A84F2E">
      <w:pPr>
        <w:jc w:val="both"/>
        <w:rPr>
          <w:rFonts w:cs="Calibri"/>
        </w:rPr>
      </w:pPr>
      <w:r w:rsidRPr="00DB7D1C">
        <w:rPr>
          <w:rFonts w:cs="Calibri"/>
        </w:rPr>
        <w:lastRenderedPageBreak/>
        <w:t>Nyilatkozom, hogy a kedvezményezett aláírásra jogosult képviselője vagyok, és a fent megadott adatok helyesek.</w:t>
      </w:r>
    </w:p>
    <w:p w:rsidR="00A84F2E" w:rsidRPr="00DB7D1C" w:rsidRDefault="00A84F2E" w:rsidP="00A84F2E">
      <w:pPr>
        <w:jc w:val="both"/>
        <w:rPr>
          <w:rFonts w:cs="Calibri"/>
        </w:rPr>
      </w:pPr>
    </w:p>
    <w:p w:rsidR="00A84F2E" w:rsidRPr="00DB7D1C" w:rsidRDefault="00A84F2E" w:rsidP="00A84F2E">
      <w:pPr>
        <w:jc w:val="both"/>
        <w:rPr>
          <w:rFonts w:cs="Calibri"/>
        </w:rPr>
      </w:pPr>
      <w:r w:rsidRPr="00DB7D1C">
        <w:rPr>
          <w:rFonts w:cs="Calibri"/>
        </w:rPr>
        <w:t>Hozzájárulok ahhoz, hogy a fenti adatokat a tárgyban illetékes szerveknek az adatkezelő átadja.</w:t>
      </w:r>
    </w:p>
    <w:p w:rsidR="00A84F2E" w:rsidRDefault="00A84F2E" w:rsidP="00A84F2E">
      <w:pPr>
        <w:jc w:val="both"/>
        <w:rPr>
          <w:rFonts w:cs="Calibri"/>
        </w:rPr>
      </w:pPr>
    </w:p>
    <w:p w:rsidR="00A84F2E" w:rsidRDefault="00A84F2E" w:rsidP="00A84F2E">
      <w:pPr>
        <w:jc w:val="both"/>
        <w:rPr>
          <w:rFonts w:cs="Calibri"/>
        </w:rPr>
      </w:pPr>
      <w:r>
        <w:rPr>
          <w:rFonts w:cs="Calibri"/>
        </w:rPr>
        <w:t>Tudomásul veszem, hogy amennyiben a nyilatkozat kelte és a támogatás odaítélése</w:t>
      </w:r>
      <w:r>
        <w:rPr>
          <w:rStyle w:val="Lbjegyzet-hivatkozs"/>
          <w:rFonts w:cs="Calibri"/>
        </w:rPr>
        <w:footnoteReference w:id="9"/>
      </w:r>
      <w:r>
        <w:rPr>
          <w:rFonts w:cs="Calibri"/>
        </w:rPr>
        <w:t xml:space="preserve"> közötti időszakban egyéb</w:t>
      </w:r>
      <w:r w:rsidRPr="00B330B2">
        <w:rPr>
          <w:rFonts w:cs="Calibri"/>
        </w:rPr>
        <w:t xml:space="preserve"> csekély összegű</w:t>
      </w:r>
      <w:r>
        <w:rPr>
          <w:rFonts w:cs="Calibri"/>
        </w:rPr>
        <w:t xml:space="preserve"> vagy a támogatáshalmozás szempontjából figyelembe veendő</w:t>
      </w:r>
      <w:r w:rsidRPr="00B330B2">
        <w:rPr>
          <w:rFonts w:cs="Calibri"/>
        </w:rPr>
        <w:t xml:space="preserve"> </w:t>
      </w:r>
      <w:r>
        <w:rPr>
          <w:rFonts w:cs="Calibri"/>
        </w:rPr>
        <w:t xml:space="preserve">más </w:t>
      </w:r>
      <w:r w:rsidRPr="00B330B2">
        <w:rPr>
          <w:rFonts w:cs="Calibri"/>
        </w:rPr>
        <w:t>támogatás</w:t>
      </w:r>
      <w:r>
        <w:rPr>
          <w:rFonts w:cs="Calibri"/>
        </w:rPr>
        <w:t>t ítélnek oda a kedvezményezett számára, a kedvezményezett erről haladéktalanul – még a jelen nyilatkozat szerinti támogatás odaítélése előtt – értesíteni köteles a támogatást nyújtót, és köteles megfelelően módosított adattartalommal újból kiállítani a jelen nyilatkozatot.</w:t>
      </w:r>
    </w:p>
    <w:p w:rsidR="00A84F2E" w:rsidRPr="00DB7D1C" w:rsidRDefault="00A84F2E" w:rsidP="00A84F2E">
      <w:pPr>
        <w:jc w:val="both"/>
        <w:rPr>
          <w:rFonts w:cs="Calibri"/>
        </w:rPr>
      </w:pPr>
    </w:p>
    <w:p w:rsidR="00A84F2E" w:rsidRPr="00DB7D1C" w:rsidRDefault="00A84F2E" w:rsidP="00A84F2E">
      <w:pPr>
        <w:rPr>
          <w:rFonts w:cs="Calibri"/>
        </w:rPr>
      </w:pPr>
      <w:r w:rsidRPr="00DB7D1C">
        <w:rPr>
          <w:rFonts w:cs="Calibri"/>
        </w:rPr>
        <w:t xml:space="preserve">Kelt:  </w:t>
      </w:r>
    </w:p>
    <w:p w:rsidR="00A84F2E" w:rsidRPr="00DB7D1C" w:rsidRDefault="00A84F2E" w:rsidP="00A84F2E">
      <w:pPr>
        <w:rPr>
          <w:rFonts w:cs="Calibri"/>
        </w:rPr>
      </w:pPr>
    </w:p>
    <w:p w:rsidR="00A84F2E" w:rsidRPr="00DB7D1C" w:rsidRDefault="00A84F2E" w:rsidP="00A84F2E">
      <w:pPr>
        <w:rPr>
          <w:rFonts w:cs="Calibri"/>
        </w:rPr>
      </w:pPr>
    </w:p>
    <w:p w:rsidR="00A84F2E" w:rsidRPr="00DB7D1C" w:rsidRDefault="00A84F2E" w:rsidP="00A84F2E">
      <w:pPr>
        <w:rPr>
          <w:rFonts w:cs="Calibri"/>
        </w:rPr>
      </w:pPr>
      <w:r w:rsidRPr="00DB7D1C">
        <w:rPr>
          <w:rFonts w:cs="Calibri"/>
        </w:rPr>
        <w:tab/>
      </w:r>
      <w:r w:rsidRPr="00DB7D1C">
        <w:rPr>
          <w:rFonts w:cs="Calibri"/>
        </w:rPr>
        <w:tab/>
      </w:r>
      <w:r w:rsidRPr="00DB7D1C">
        <w:rPr>
          <w:rFonts w:cs="Calibri"/>
        </w:rPr>
        <w:tab/>
      </w:r>
      <w:r w:rsidRPr="00DB7D1C">
        <w:rPr>
          <w:rFonts w:cs="Calibri"/>
        </w:rPr>
        <w:tab/>
      </w:r>
      <w:r w:rsidRPr="00DB7D1C">
        <w:rPr>
          <w:rFonts w:cs="Calibri"/>
        </w:rPr>
        <w:tab/>
        <w:t xml:space="preserve">                   ……………………………..</w:t>
      </w:r>
      <w:r w:rsidRPr="00DB7D1C">
        <w:rPr>
          <w:rFonts w:cs="Calibri"/>
        </w:rPr>
        <w:tab/>
      </w:r>
    </w:p>
    <w:p w:rsidR="00A84F2E" w:rsidRPr="00DB7D1C" w:rsidRDefault="00A84F2E" w:rsidP="00A84F2E">
      <w:pPr>
        <w:rPr>
          <w:rFonts w:cs="Calibri"/>
        </w:rPr>
      </w:pPr>
      <w:r w:rsidRPr="00DB7D1C">
        <w:rPr>
          <w:rFonts w:cs="Calibri"/>
        </w:rPr>
        <w:tab/>
      </w:r>
      <w:r w:rsidRPr="00DB7D1C">
        <w:rPr>
          <w:rFonts w:cs="Calibri"/>
        </w:rPr>
        <w:tab/>
      </w:r>
      <w:r w:rsidRPr="00DB7D1C">
        <w:rPr>
          <w:rFonts w:cs="Calibri"/>
        </w:rPr>
        <w:tab/>
      </w:r>
      <w:r w:rsidRPr="00DB7D1C">
        <w:rPr>
          <w:rFonts w:cs="Calibri"/>
        </w:rPr>
        <w:tab/>
      </w:r>
      <w:r w:rsidRPr="00DB7D1C">
        <w:rPr>
          <w:rFonts w:cs="Calibri"/>
        </w:rPr>
        <w:tab/>
        <w:t xml:space="preserve">         </w:t>
      </w:r>
      <w:r w:rsidRPr="00DB7D1C">
        <w:rPr>
          <w:rFonts w:cs="Calibri"/>
        </w:rPr>
        <w:tab/>
        <w:t xml:space="preserve">       Kedvezményezett</w:t>
      </w:r>
    </w:p>
    <w:p w:rsidR="00A84F2E" w:rsidRPr="00DB7D1C" w:rsidRDefault="00A84F2E" w:rsidP="00A84F2E">
      <w:pPr>
        <w:ind w:left="4248"/>
        <w:rPr>
          <w:rFonts w:cs="Calibri"/>
        </w:rPr>
      </w:pPr>
      <w:r w:rsidRPr="00DB7D1C">
        <w:rPr>
          <w:rFonts w:cs="Calibri"/>
        </w:rPr>
        <w:t xml:space="preserve">        (aláírás, pecsét)</w:t>
      </w:r>
    </w:p>
    <w:p w:rsidR="00A84F2E" w:rsidRPr="00DB7D1C" w:rsidRDefault="00A84F2E" w:rsidP="00A84F2E">
      <w:pPr>
        <w:rPr>
          <w:rFonts w:cs="Calibri"/>
        </w:rPr>
      </w:pPr>
    </w:p>
    <w:p w:rsidR="00A84F2E" w:rsidRPr="00DB7D1C" w:rsidRDefault="00A84F2E" w:rsidP="00A84F2E">
      <w:pPr>
        <w:rPr>
          <w:rFonts w:ascii="Book Antiqua" w:hAnsi="Book Antiqua"/>
          <w:b/>
          <w:color w:val="000000"/>
          <w:sz w:val="28"/>
          <w:szCs w:val="28"/>
        </w:rPr>
      </w:pPr>
      <w:r w:rsidRPr="00DB7D1C">
        <w:rPr>
          <w:rFonts w:ascii="Book Antiqua" w:hAnsi="Book Antiqua"/>
          <w:b/>
          <w:color w:val="000000"/>
          <w:sz w:val="28"/>
          <w:szCs w:val="28"/>
        </w:rPr>
        <w:br w:type="page"/>
      </w:r>
    </w:p>
    <w:p w:rsidR="00C96BE4" w:rsidRPr="00C96BE4" w:rsidRDefault="00C96BE4" w:rsidP="00C96BE4">
      <w:pPr>
        <w:pStyle w:val="Listaszerbekezds"/>
        <w:numPr>
          <w:ilvl w:val="0"/>
          <w:numId w:val="6"/>
        </w:numPr>
        <w:jc w:val="right"/>
        <w:rPr>
          <w:sz w:val="18"/>
          <w:szCs w:val="18"/>
        </w:rPr>
      </w:pPr>
      <w:r w:rsidRPr="00C96BE4">
        <w:rPr>
          <w:sz w:val="18"/>
          <w:szCs w:val="18"/>
        </w:rPr>
        <w:lastRenderedPageBreak/>
        <w:t>melléklet a …… /2016. (……) önkormányzati rendelethez</w:t>
      </w:r>
    </w:p>
    <w:p w:rsidR="00C96BE4" w:rsidRPr="00C96BE4" w:rsidRDefault="00C96BE4" w:rsidP="00C96BE4">
      <w:pPr>
        <w:pStyle w:val="Listaszerbekezds"/>
        <w:jc w:val="right"/>
        <w:rPr>
          <w:b/>
          <w:sz w:val="18"/>
          <w:szCs w:val="18"/>
        </w:rPr>
      </w:pPr>
      <w:r w:rsidRPr="00C96BE4">
        <w:rPr>
          <w:sz w:val="18"/>
          <w:szCs w:val="18"/>
        </w:rPr>
        <w:t>„2. melléklet a 4/2010. (II.10.) önkormányzati rendelethez</w:t>
      </w:r>
      <w:r>
        <w:rPr>
          <w:b/>
          <w:sz w:val="18"/>
          <w:szCs w:val="18"/>
        </w:rPr>
        <w:t>”</w:t>
      </w:r>
    </w:p>
    <w:p w:rsidR="00C96BE4" w:rsidRDefault="00C96BE4" w:rsidP="00C96BE4">
      <w:pPr>
        <w:jc w:val="center"/>
        <w:rPr>
          <w:rFonts w:ascii="Book Antiqua" w:hAnsi="Book Antiqua"/>
          <w:b/>
          <w:sz w:val="32"/>
          <w:szCs w:val="32"/>
        </w:rPr>
      </w:pPr>
    </w:p>
    <w:p w:rsidR="00C96BE4" w:rsidRDefault="00C96BE4" w:rsidP="00C96BE4">
      <w:pPr>
        <w:jc w:val="center"/>
        <w:rPr>
          <w:rFonts w:ascii="Book Antiqua" w:hAnsi="Book Antiqua"/>
          <w:b/>
          <w:sz w:val="32"/>
          <w:szCs w:val="32"/>
        </w:rPr>
      </w:pPr>
    </w:p>
    <w:p w:rsidR="00C96BE4" w:rsidRDefault="00C96BE4" w:rsidP="00C96BE4">
      <w:pPr>
        <w:jc w:val="center"/>
        <w:rPr>
          <w:rFonts w:ascii="Book Antiqua" w:hAnsi="Book Antiqua"/>
          <w:b/>
          <w:sz w:val="32"/>
          <w:szCs w:val="32"/>
        </w:rPr>
      </w:pPr>
    </w:p>
    <w:p w:rsidR="00C96BE4" w:rsidRPr="00C96BE4" w:rsidRDefault="00C96BE4" w:rsidP="00C96BE4">
      <w:pPr>
        <w:jc w:val="center"/>
        <w:rPr>
          <w:b/>
          <w:sz w:val="32"/>
          <w:szCs w:val="32"/>
        </w:rPr>
      </w:pPr>
      <w:r w:rsidRPr="00C96BE4">
        <w:rPr>
          <w:b/>
          <w:sz w:val="32"/>
          <w:szCs w:val="32"/>
        </w:rPr>
        <w:t>Igazolás csekély összegű támogatásról</w:t>
      </w:r>
    </w:p>
    <w:p w:rsidR="00C96BE4" w:rsidRPr="00C96BE4" w:rsidRDefault="00C96BE4" w:rsidP="00C96BE4">
      <w:pPr>
        <w:spacing w:before="120" w:after="120"/>
        <w:jc w:val="both"/>
        <w:rPr>
          <w:sz w:val="32"/>
          <w:szCs w:val="32"/>
        </w:rPr>
      </w:pPr>
    </w:p>
    <w:p w:rsidR="00C96BE4" w:rsidRPr="00C96BE4" w:rsidRDefault="00C96BE4" w:rsidP="00C96BE4">
      <w:pPr>
        <w:spacing w:before="120" w:after="120"/>
        <w:jc w:val="both"/>
        <w:rPr>
          <w:sz w:val="24"/>
          <w:szCs w:val="24"/>
        </w:rPr>
      </w:pPr>
      <w:r w:rsidRPr="00C96BE4">
        <w:rPr>
          <w:sz w:val="24"/>
          <w:szCs w:val="24"/>
        </w:rPr>
        <w:t>Alulírott … a … mint támogatást nyújtó képviseletében eljárva ezúton igazolom, hogy a … mint kedvezményezett …. bizottsági rendelet (HL …, dátum, oldal) (a továbbiakban: … bizottsági rendelet) alapján a következő csekély összegű támogatásban részesül:</w:t>
      </w:r>
    </w:p>
    <w:p w:rsidR="00C96BE4" w:rsidRPr="00C96BE4" w:rsidRDefault="00C96BE4" w:rsidP="00C96BE4">
      <w:pPr>
        <w:spacing w:before="120" w:after="120"/>
        <w:ind w:left="708"/>
        <w:jc w:val="both"/>
        <w:rPr>
          <w:sz w:val="24"/>
          <w:szCs w:val="24"/>
        </w:rPr>
      </w:pPr>
      <w:r w:rsidRPr="00C96BE4">
        <w:rPr>
          <w:sz w:val="24"/>
          <w:szCs w:val="24"/>
        </w:rPr>
        <w:t>Projekt megnevezése:</w:t>
      </w:r>
    </w:p>
    <w:p w:rsidR="00C96BE4" w:rsidRPr="00C96BE4" w:rsidRDefault="00C96BE4" w:rsidP="00C96BE4">
      <w:pPr>
        <w:spacing w:before="120" w:after="120"/>
        <w:ind w:left="708"/>
        <w:jc w:val="both"/>
        <w:rPr>
          <w:sz w:val="24"/>
          <w:szCs w:val="24"/>
        </w:rPr>
      </w:pPr>
      <w:r w:rsidRPr="00C96BE4">
        <w:rPr>
          <w:sz w:val="24"/>
          <w:szCs w:val="24"/>
        </w:rPr>
        <w:t>Támogatást nyújtó döntésének száma:</w:t>
      </w:r>
    </w:p>
    <w:p w:rsidR="00C96BE4" w:rsidRPr="00C96BE4" w:rsidRDefault="00C96BE4" w:rsidP="00C96BE4">
      <w:pPr>
        <w:spacing w:before="120" w:after="120"/>
        <w:ind w:left="708"/>
        <w:jc w:val="both"/>
        <w:rPr>
          <w:sz w:val="24"/>
          <w:szCs w:val="24"/>
        </w:rPr>
      </w:pPr>
      <w:r w:rsidRPr="00C96BE4">
        <w:rPr>
          <w:sz w:val="24"/>
          <w:szCs w:val="24"/>
        </w:rPr>
        <w:t>Támogatás odaítélésének időpontja:</w:t>
      </w:r>
    </w:p>
    <w:p w:rsidR="00C96BE4" w:rsidRPr="00C96BE4" w:rsidRDefault="00C96BE4" w:rsidP="00C96BE4">
      <w:pPr>
        <w:spacing w:before="120" w:after="120"/>
        <w:ind w:left="708"/>
        <w:jc w:val="both"/>
        <w:rPr>
          <w:sz w:val="24"/>
          <w:szCs w:val="24"/>
        </w:rPr>
      </w:pPr>
      <w:r w:rsidRPr="00C96BE4">
        <w:rPr>
          <w:sz w:val="24"/>
          <w:szCs w:val="24"/>
        </w:rPr>
        <w:t>A támogatás bruttó támogatástartalma jelenértéken:</w:t>
      </w:r>
    </w:p>
    <w:p w:rsidR="00C96BE4" w:rsidRPr="00C96BE4" w:rsidRDefault="00C96BE4" w:rsidP="00C96BE4">
      <w:pPr>
        <w:spacing w:before="120" w:after="120"/>
        <w:ind w:left="708"/>
        <w:jc w:val="both"/>
        <w:rPr>
          <w:sz w:val="24"/>
          <w:szCs w:val="24"/>
        </w:rPr>
      </w:pPr>
    </w:p>
    <w:p w:rsidR="00C96BE4" w:rsidRPr="00C96BE4" w:rsidRDefault="00C96BE4" w:rsidP="00C96BE4">
      <w:pPr>
        <w:spacing w:before="120" w:after="120"/>
        <w:jc w:val="both"/>
        <w:rPr>
          <w:sz w:val="24"/>
          <w:szCs w:val="24"/>
        </w:rPr>
      </w:pPr>
      <w:r w:rsidRPr="00C96BE4">
        <w:rPr>
          <w:sz w:val="24"/>
          <w:szCs w:val="24"/>
        </w:rPr>
        <w:t>A jelen támogatással érintett célra a(z) … bizottsági rendelet alapján …. eurónak megfelelő forintösszeg nyújtható.</w:t>
      </w:r>
    </w:p>
    <w:p w:rsidR="00C96BE4" w:rsidRPr="00C96BE4" w:rsidRDefault="00C96BE4" w:rsidP="00C96BE4">
      <w:pPr>
        <w:spacing w:before="120" w:after="120"/>
        <w:jc w:val="both"/>
        <w:rPr>
          <w:sz w:val="24"/>
          <w:szCs w:val="24"/>
        </w:rPr>
      </w:pPr>
      <w:r w:rsidRPr="00C96BE4">
        <w:rPr>
          <w:sz w:val="24"/>
          <w:szCs w:val="24"/>
        </w:rPr>
        <w:t>Jelen igazolást a(z) … bizottsági rendelet 6. cikk (1) bekezdése alapján állítottam ki.</w:t>
      </w:r>
    </w:p>
    <w:p w:rsidR="00C96BE4" w:rsidRPr="00C96BE4" w:rsidRDefault="00C96BE4" w:rsidP="00C96BE4">
      <w:pPr>
        <w:spacing w:before="120" w:after="120"/>
        <w:jc w:val="both"/>
        <w:rPr>
          <w:sz w:val="24"/>
          <w:szCs w:val="24"/>
        </w:rPr>
      </w:pPr>
    </w:p>
    <w:p w:rsidR="00C96BE4" w:rsidRPr="00C96BE4" w:rsidRDefault="00C96BE4" w:rsidP="00C96BE4">
      <w:pPr>
        <w:spacing w:before="120" w:after="120"/>
        <w:jc w:val="both"/>
        <w:rPr>
          <w:sz w:val="24"/>
          <w:szCs w:val="24"/>
        </w:rPr>
      </w:pPr>
      <w:r w:rsidRPr="00C96BE4">
        <w:rPr>
          <w:sz w:val="24"/>
          <w:szCs w:val="24"/>
        </w:rPr>
        <w:t>Kelt, …</w:t>
      </w:r>
    </w:p>
    <w:p w:rsidR="00C96BE4" w:rsidRPr="00C96BE4" w:rsidRDefault="00C96BE4" w:rsidP="00C96BE4">
      <w:pPr>
        <w:jc w:val="both"/>
      </w:pPr>
    </w:p>
    <w:p w:rsidR="00C96BE4" w:rsidRPr="00C96BE4" w:rsidRDefault="00C96BE4" w:rsidP="00C96BE4">
      <w:pPr>
        <w:rPr>
          <w:sz w:val="20"/>
          <w:szCs w:val="20"/>
        </w:rPr>
      </w:pPr>
      <w:r w:rsidRPr="00C96BE4">
        <w:rPr>
          <w:sz w:val="20"/>
          <w:szCs w:val="20"/>
        </w:rPr>
        <w:t>…………………………………………………………..</w:t>
      </w:r>
      <w:r w:rsidRPr="00C96BE4">
        <w:rPr>
          <w:sz w:val="20"/>
          <w:szCs w:val="20"/>
        </w:rPr>
        <w:tab/>
      </w:r>
      <w:r w:rsidRPr="00C96BE4">
        <w:rPr>
          <w:sz w:val="20"/>
          <w:szCs w:val="20"/>
        </w:rPr>
        <w:tab/>
      </w:r>
    </w:p>
    <w:p w:rsidR="00C96BE4" w:rsidRPr="00C96BE4" w:rsidRDefault="00C96BE4" w:rsidP="00C96BE4">
      <w:pPr>
        <w:rPr>
          <w:b/>
        </w:rPr>
      </w:pPr>
      <w:r w:rsidRPr="00C96BE4">
        <w:rPr>
          <w:sz w:val="20"/>
          <w:szCs w:val="20"/>
        </w:rPr>
        <w:t>Támogatást nyújtó szervezet (aláírás, pecsét)</w:t>
      </w:r>
      <w:r w:rsidRPr="00C96BE4">
        <w:rPr>
          <w:sz w:val="20"/>
          <w:szCs w:val="20"/>
        </w:rPr>
        <w:tab/>
      </w:r>
    </w:p>
    <w:p w:rsidR="00C96BE4" w:rsidRPr="00C96BE4" w:rsidRDefault="00C96BE4" w:rsidP="00C96BE4"/>
    <w:p w:rsidR="00876418" w:rsidRPr="00C96BE4" w:rsidRDefault="00876418" w:rsidP="00876418">
      <w:pPr>
        <w:jc w:val="both"/>
        <w:rPr>
          <w:color w:val="C00000"/>
        </w:rPr>
      </w:pPr>
    </w:p>
    <w:p w:rsidR="00876418" w:rsidRDefault="00876418" w:rsidP="00876418">
      <w:pPr>
        <w:jc w:val="both"/>
        <w:rPr>
          <w:color w:val="C00000"/>
        </w:rPr>
      </w:pPr>
    </w:p>
    <w:p w:rsidR="00876418" w:rsidRDefault="00876418" w:rsidP="00876418">
      <w:pPr>
        <w:jc w:val="both"/>
        <w:rPr>
          <w:color w:val="C00000"/>
        </w:rPr>
      </w:pPr>
    </w:p>
    <w:p w:rsidR="00876418" w:rsidRDefault="00876418" w:rsidP="00876418">
      <w:pPr>
        <w:jc w:val="both"/>
      </w:pPr>
    </w:p>
    <w:p w:rsidR="00876418" w:rsidRDefault="00876418" w:rsidP="00876418">
      <w:pPr>
        <w:jc w:val="both"/>
      </w:pPr>
    </w:p>
    <w:p w:rsidR="00876418" w:rsidRDefault="00876418" w:rsidP="00876418">
      <w:pPr>
        <w:jc w:val="both"/>
      </w:pPr>
    </w:p>
    <w:p w:rsidR="00876418" w:rsidRDefault="00876418" w:rsidP="00876418">
      <w:pPr>
        <w:jc w:val="both"/>
      </w:pPr>
    </w:p>
    <w:p w:rsidR="00876418" w:rsidRDefault="00876418" w:rsidP="00876418">
      <w:pPr>
        <w:jc w:val="both"/>
      </w:pPr>
    </w:p>
    <w:p w:rsidR="00876418" w:rsidRDefault="00876418" w:rsidP="00876418">
      <w:pPr>
        <w:jc w:val="both"/>
      </w:pPr>
    </w:p>
    <w:p w:rsidR="00876418" w:rsidRDefault="00876418" w:rsidP="00876418">
      <w:pPr>
        <w:jc w:val="both"/>
      </w:pPr>
    </w:p>
    <w:p w:rsidR="00876418" w:rsidRDefault="00876418" w:rsidP="00876418">
      <w:pPr>
        <w:jc w:val="both"/>
      </w:pPr>
    </w:p>
    <w:p w:rsidR="00876418" w:rsidRDefault="00876418" w:rsidP="00876418">
      <w:pPr>
        <w:jc w:val="both"/>
      </w:pPr>
    </w:p>
    <w:p w:rsidR="00876418" w:rsidRDefault="00876418" w:rsidP="00876418">
      <w:pPr>
        <w:jc w:val="both"/>
      </w:pPr>
    </w:p>
    <w:p w:rsidR="00876418" w:rsidRDefault="00876418" w:rsidP="00876418">
      <w:pPr>
        <w:jc w:val="both"/>
      </w:pPr>
    </w:p>
    <w:p w:rsidR="00876418" w:rsidRDefault="00876418" w:rsidP="00876418">
      <w:pPr>
        <w:jc w:val="both"/>
      </w:pPr>
    </w:p>
    <w:p w:rsidR="00876418" w:rsidRDefault="00876418" w:rsidP="00876418">
      <w:pPr>
        <w:jc w:val="both"/>
      </w:pPr>
    </w:p>
    <w:p w:rsidR="00876418" w:rsidRDefault="00876418" w:rsidP="00876418">
      <w:pPr>
        <w:jc w:val="both"/>
      </w:pPr>
    </w:p>
    <w:p w:rsidR="00876418" w:rsidRDefault="00876418" w:rsidP="00876418">
      <w:pPr>
        <w:jc w:val="both"/>
      </w:pPr>
    </w:p>
    <w:p w:rsidR="00876418" w:rsidRDefault="00876418" w:rsidP="00876418">
      <w:pPr>
        <w:jc w:val="both"/>
      </w:pPr>
    </w:p>
    <w:p w:rsidR="00876418" w:rsidRDefault="00876418" w:rsidP="00876418">
      <w:pPr>
        <w:jc w:val="both"/>
      </w:pPr>
    </w:p>
    <w:p w:rsidR="00876418" w:rsidRDefault="00876418" w:rsidP="00876418">
      <w:pPr>
        <w:jc w:val="both"/>
      </w:pPr>
    </w:p>
    <w:p w:rsidR="00876418" w:rsidRDefault="00876418" w:rsidP="00876418">
      <w:pPr>
        <w:jc w:val="right"/>
      </w:pPr>
    </w:p>
    <w:p w:rsidR="00876418" w:rsidRDefault="00876418" w:rsidP="00876418">
      <w:pPr>
        <w:jc w:val="right"/>
      </w:pPr>
    </w:p>
    <w:p w:rsidR="00876418" w:rsidRDefault="009460C3" w:rsidP="00876418">
      <w:pPr>
        <w:jc w:val="center"/>
        <w:rPr>
          <w:b/>
        </w:rPr>
      </w:pPr>
      <w:r>
        <w:rPr>
          <w:b/>
        </w:rPr>
        <w:t>Előzetes hatásvizsgálat</w:t>
      </w:r>
    </w:p>
    <w:p w:rsidR="009460C3" w:rsidRDefault="009460C3" w:rsidP="00876418">
      <w:pPr>
        <w:jc w:val="center"/>
        <w:rPr>
          <w:b/>
        </w:rPr>
      </w:pPr>
    </w:p>
    <w:p w:rsidR="009460C3" w:rsidRDefault="009460C3" w:rsidP="00876418">
      <w:pPr>
        <w:jc w:val="center"/>
        <w:rPr>
          <w:b/>
        </w:rPr>
      </w:pPr>
      <w:proofErr w:type="gramStart"/>
      <w:r>
        <w:rPr>
          <w:b/>
        </w:rPr>
        <w:t>a</w:t>
      </w:r>
      <w:proofErr w:type="gramEnd"/>
      <w:r>
        <w:rPr>
          <w:b/>
        </w:rPr>
        <w:t xml:space="preserve"> jogalkotásról szóló 2010. évi CXXX. törvény 17. § (1) bekezdése alapján</w:t>
      </w:r>
    </w:p>
    <w:p w:rsidR="00876418" w:rsidRDefault="00876418" w:rsidP="00876418">
      <w:pPr>
        <w:jc w:val="center"/>
        <w:rPr>
          <w:b/>
        </w:rPr>
      </w:pPr>
    </w:p>
    <w:p w:rsidR="00876418" w:rsidRDefault="00D04D4B" w:rsidP="00876418">
      <w:pPr>
        <w:jc w:val="center"/>
        <w:rPr>
          <w:b/>
        </w:rPr>
      </w:pPr>
      <w:r>
        <w:rPr>
          <w:b/>
        </w:rPr>
        <w:t>Hév</w:t>
      </w:r>
      <w:r w:rsidR="00866FF2">
        <w:rPr>
          <w:b/>
        </w:rPr>
        <w:t>íz Város Önkormányzat Képviselő-</w:t>
      </w:r>
      <w:r>
        <w:rPr>
          <w:b/>
        </w:rPr>
        <w:t xml:space="preserve">testületének a helyi adókról szóló 4/2010. (II.10.) önkormányzati rendelet módosításáról szóló ………../2016. (…………) önkormányzati rendeletéhez </w:t>
      </w:r>
    </w:p>
    <w:p w:rsidR="00D04D4B" w:rsidRDefault="00D04D4B" w:rsidP="00876418">
      <w:pPr>
        <w:jc w:val="center"/>
        <w:rPr>
          <w:b/>
        </w:rPr>
      </w:pPr>
    </w:p>
    <w:p w:rsidR="00D04D4B" w:rsidRDefault="00D04D4B" w:rsidP="00D04D4B">
      <w:pPr>
        <w:jc w:val="both"/>
        <w:rPr>
          <w:b/>
        </w:rPr>
      </w:pPr>
    </w:p>
    <w:p w:rsidR="00D04D4B" w:rsidRDefault="00D04D4B" w:rsidP="00D04D4B">
      <w:pPr>
        <w:jc w:val="both"/>
        <w:rPr>
          <w:b/>
        </w:rPr>
      </w:pPr>
    </w:p>
    <w:p w:rsidR="00D04D4B" w:rsidRDefault="00D04D4B" w:rsidP="00D04D4B">
      <w:pPr>
        <w:pStyle w:val="Listaszerbekezds"/>
        <w:numPr>
          <w:ilvl w:val="0"/>
          <w:numId w:val="4"/>
        </w:numPr>
        <w:jc w:val="both"/>
        <w:rPr>
          <w:b/>
        </w:rPr>
      </w:pPr>
      <w:r>
        <w:rPr>
          <w:b/>
        </w:rPr>
        <w:t xml:space="preserve">Társadalmi hatások </w:t>
      </w:r>
    </w:p>
    <w:p w:rsidR="00D04D4B" w:rsidRDefault="00D04D4B" w:rsidP="00D04D4B">
      <w:pPr>
        <w:jc w:val="both"/>
        <w:rPr>
          <w:b/>
        </w:rPr>
      </w:pPr>
    </w:p>
    <w:p w:rsidR="00D04D4B" w:rsidRDefault="00D04D4B" w:rsidP="00D04D4B">
      <w:pPr>
        <w:jc w:val="both"/>
      </w:pPr>
      <w:r>
        <w:t xml:space="preserve">Az adómentesség következtében a háziorvos vállalkozónál (háziorvosi, házi gyermekorvosi, fogorvosi alapellátást végző vállalkozó) maradó jövedelem az általa ellátott közfeladat színvonalának emelését segítheti. Társadalmi hatása pozitív. </w:t>
      </w:r>
    </w:p>
    <w:p w:rsidR="00D04D4B" w:rsidRPr="0066133F" w:rsidRDefault="00D04D4B" w:rsidP="00D04D4B">
      <w:pPr>
        <w:jc w:val="both"/>
        <w:rPr>
          <w:b/>
        </w:rPr>
      </w:pPr>
    </w:p>
    <w:p w:rsidR="0066133F" w:rsidRPr="0066133F" w:rsidRDefault="0066133F" w:rsidP="0066133F">
      <w:pPr>
        <w:pStyle w:val="Listaszerbekezds"/>
        <w:numPr>
          <w:ilvl w:val="0"/>
          <w:numId w:val="4"/>
        </w:numPr>
        <w:jc w:val="both"/>
        <w:rPr>
          <w:b/>
        </w:rPr>
      </w:pPr>
      <w:r w:rsidRPr="0066133F">
        <w:rPr>
          <w:b/>
        </w:rPr>
        <w:t>Gazdasági, költségvetési hatások</w:t>
      </w:r>
    </w:p>
    <w:p w:rsidR="0066133F" w:rsidRDefault="0066133F" w:rsidP="0066133F">
      <w:pPr>
        <w:jc w:val="both"/>
      </w:pPr>
    </w:p>
    <w:p w:rsidR="0066133F" w:rsidRDefault="0066133F" w:rsidP="0066133F">
      <w:pPr>
        <w:jc w:val="both"/>
      </w:pPr>
      <w:r>
        <w:t xml:space="preserve">Bár a javaslat támogatása adóbevétel kieséssel jár, ám ez a teljes iparűzési adó bevétel tekintetében számottevő csökkenést nem jelent. </w:t>
      </w:r>
    </w:p>
    <w:p w:rsidR="0066133F" w:rsidRDefault="0066133F" w:rsidP="0066133F">
      <w:pPr>
        <w:jc w:val="both"/>
      </w:pPr>
    </w:p>
    <w:p w:rsidR="0066133F" w:rsidRPr="0066133F" w:rsidRDefault="0066133F" w:rsidP="0066133F">
      <w:pPr>
        <w:pStyle w:val="Listaszerbekezds"/>
        <w:numPr>
          <w:ilvl w:val="0"/>
          <w:numId w:val="4"/>
        </w:numPr>
        <w:jc w:val="both"/>
        <w:rPr>
          <w:b/>
        </w:rPr>
      </w:pPr>
      <w:r w:rsidRPr="0066133F">
        <w:rPr>
          <w:b/>
        </w:rPr>
        <w:t>Környezeti hatások</w:t>
      </w:r>
    </w:p>
    <w:p w:rsidR="0066133F" w:rsidRDefault="0066133F" w:rsidP="0066133F">
      <w:pPr>
        <w:jc w:val="both"/>
      </w:pPr>
    </w:p>
    <w:p w:rsidR="0066133F" w:rsidRDefault="0066133F" w:rsidP="0066133F">
      <w:pPr>
        <w:jc w:val="both"/>
      </w:pPr>
      <w:r>
        <w:t>A rendeletben foglaltak végrehajtásának környezetre gyakorolt hatása nincs.</w:t>
      </w:r>
    </w:p>
    <w:p w:rsidR="0066133F" w:rsidRDefault="0066133F" w:rsidP="0066133F">
      <w:pPr>
        <w:jc w:val="both"/>
      </w:pPr>
    </w:p>
    <w:p w:rsidR="0066133F" w:rsidRPr="0066133F" w:rsidRDefault="0066133F" w:rsidP="0066133F">
      <w:pPr>
        <w:pStyle w:val="Listaszerbekezds"/>
        <w:numPr>
          <w:ilvl w:val="0"/>
          <w:numId w:val="4"/>
        </w:numPr>
        <w:jc w:val="both"/>
        <w:rPr>
          <w:b/>
        </w:rPr>
      </w:pPr>
      <w:r w:rsidRPr="0066133F">
        <w:rPr>
          <w:b/>
        </w:rPr>
        <w:t>Egészségi következmények</w:t>
      </w:r>
    </w:p>
    <w:p w:rsidR="0066133F" w:rsidRDefault="0066133F" w:rsidP="0066133F">
      <w:pPr>
        <w:jc w:val="both"/>
      </w:pPr>
    </w:p>
    <w:p w:rsidR="0066133F" w:rsidRDefault="0066133F" w:rsidP="0066133F">
      <w:pPr>
        <w:jc w:val="both"/>
      </w:pPr>
      <w:r>
        <w:t xml:space="preserve">A rendeletben foglaltak végrehajtásának a háziorvos vállalkozók támogatásával a betegellátás körülményeinek javításán keresztül, közvetetten pozitív hozadéka lehet a lakosság egészségi állapotára nézve. </w:t>
      </w:r>
    </w:p>
    <w:p w:rsidR="0066133F" w:rsidRDefault="0066133F" w:rsidP="0066133F">
      <w:pPr>
        <w:jc w:val="both"/>
      </w:pPr>
    </w:p>
    <w:p w:rsidR="0066133F" w:rsidRPr="0066133F" w:rsidRDefault="0066133F" w:rsidP="0066133F">
      <w:pPr>
        <w:pStyle w:val="Listaszerbekezds"/>
        <w:numPr>
          <w:ilvl w:val="0"/>
          <w:numId w:val="4"/>
        </w:numPr>
        <w:jc w:val="both"/>
        <w:rPr>
          <w:b/>
        </w:rPr>
      </w:pPr>
      <w:r w:rsidRPr="0066133F">
        <w:rPr>
          <w:b/>
        </w:rPr>
        <w:t>Adminisztratív terheket befolyásoló hatások</w:t>
      </w:r>
    </w:p>
    <w:p w:rsidR="0066133F" w:rsidRDefault="0066133F" w:rsidP="0066133F">
      <w:pPr>
        <w:jc w:val="both"/>
      </w:pPr>
    </w:p>
    <w:p w:rsidR="0066133F" w:rsidRDefault="0066133F" w:rsidP="0066133F">
      <w:pPr>
        <w:jc w:val="both"/>
      </w:pPr>
      <w:r>
        <w:t xml:space="preserve">A rendeletben foglaltak végrehajtása az adminisztratív terheket növeli. </w:t>
      </w:r>
    </w:p>
    <w:p w:rsidR="0066133F" w:rsidRDefault="0066133F" w:rsidP="0066133F">
      <w:pPr>
        <w:jc w:val="both"/>
      </w:pPr>
    </w:p>
    <w:p w:rsidR="0066133F" w:rsidRPr="0066133F" w:rsidRDefault="0066133F" w:rsidP="0066133F">
      <w:pPr>
        <w:pStyle w:val="Listaszerbekezds"/>
        <w:numPr>
          <w:ilvl w:val="0"/>
          <w:numId w:val="4"/>
        </w:numPr>
        <w:jc w:val="both"/>
        <w:rPr>
          <w:b/>
        </w:rPr>
      </w:pPr>
      <w:r w:rsidRPr="0066133F">
        <w:rPr>
          <w:b/>
        </w:rPr>
        <w:t xml:space="preserve">A jogszabály megalkotásának szükségessége, a jogalkotás elmaradásának várható következményei </w:t>
      </w:r>
    </w:p>
    <w:p w:rsidR="0066133F" w:rsidRDefault="0066133F" w:rsidP="0066133F">
      <w:pPr>
        <w:jc w:val="both"/>
      </w:pPr>
    </w:p>
    <w:p w:rsidR="0066133F" w:rsidRDefault="0066133F" w:rsidP="0066133F">
      <w:pPr>
        <w:jc w:val="both"/>
      </w:pPr>
      <w:r>
        <w:t xml:space="preserve">Az egészségügyi alapellátás, az egészséges életmód segítését célzó szolgáltatások nyújtása a Magyarország helyi önkormányzatairól szóló 2011. évi CLXXXIX. törvény 13. § (1) bekezdés 4. pontja alapján a helyi önkormányzat feladata. Hévíz Város Önkormányzata elkötelezett a város egészségügyi helyzetének további javítása mellett, és a rendelkezésre álló eszközökkel, lehetőségeihez mérten törekszik alapellátási feladatának minél magasabb színvonalú ellátására. </w:t>
      </w:r>
    </w:p>
    <w:p w:rsidR="0066133F" w:rsidRDefault="0066133F" w:rsidP="0066133F">
      <w:pPr>
        <w:jc w:val="both"/>
      </w:pPr>
    </w:p>
    <w:p w:rsidR="0066133F" w:rsidRPr="0066133F" w:rsidRDefault="0066133F" w:rsidP="0066133F">
      <w:pPr>
        <w:pStyle w:val="Listaszerbekezds"/>
        <w:numPr>
          <w:ilvl w:val="0"/>
          <w:numId w:val="4"/>
        </w:numPr>
        <w:jc w:val="both"/>
        <w:rPr>
          <w:b/>
        </w:rPr>
      </w:pPr>
      <w:r w:rsidRPr="0066133F">
        <w:rPr>
          <w:b/>
        </w:rPr>
        <w:t xml:space="preserve">A jogszabály alkalmazásához szükséges személyi, szervezeti és pénzügyi feltételek </w:t>
      </w:r>
    </w:p>
    <w:p w:rsidR="0066133F" w:rsidRDefault="0066133F" w:rsidP="0066133F">
      <w:pPr>
        <w:jc w:val="both"/>
      </w:pPr>
    </w:p>
    <w:p w:rsidR="0066133F" w:rsidRDefault="0066133F" w:rsidP="0066133F">
      <w:pPr>
        <w:jc w:val="both"/>
      </w:pPr>
      <w:r>
        <w:t xml:space="preserve">A jogszabály alkalmazásához szükséges személyi, szervezeti, tárgyi és pénzügyi feltételek rendelkezésre állnak. </w:t>
      </w:r>
    </w:p>
    <w:p w:rsidR="0066133F" w:rsidRDefault="0066133F" w:rsidP="0066133F">
      <w:pPr>
        <w:jc w:val="both"/>
      </w:pPr>
    </w:p>
    <w:p w:rsidR="00DD777B" w:rsidRDefault="00DD777B" w:rsidP="0066133F">
      <w:pPr>
        <w:jc w:val="both"/>
      </w:pPr>
    </w:p>
    <w:p w:rsidR="00AA4379" w:rsidRDefault="00AA4379" w:rsidP="00AA4379">
      <w:pPr>
        <w:jc w:val="center"/>
        <w:rPr>
          <w:b/>
          <w:sz w:val="24"/>
          <w:szCs w:val="24"/>
        </w:rPr>
      </w:pPr>
      <w:r>
        <w:rPr>
          <w:b/>
          <w:sz w:val="24"/>
          <w:szCs w:val="24"/>
        </w:rPr>
        <w:t>5.</w:t>
      </w:r>
    </w:p>
    <w:p w:rsidR="00866FF2" w:rsidRDefault="00866FF2" w:rsidP="00AA4379">
      <w:pPr>
        <w:jc w:val="center"/>
        <w:rPr>
          <w:b/>
          <w:sz w:val="24"/>
          <w:szCs w:val="24"/>
        </w:rPr>
      </w:pPr>
    </w:p>
    <w:p w:rsidR="00866FF2" w:rsidRDefault="00866FF2" w:rsidP="00AA4379">
      <w:pPr>
        <w:jc w:val="center"/>
        <w:rPr>
          <w:b/>
          <w:sz w:val="24"/>
          <w:szCs w:val="24"/>
        </w:rPr>
      </w:pPr>
    </w:p>
    <w:p w:rsidR="00AA4379" w:rsidRDefault="00AA4379" w:rsidP="00AA4379">
      <w:pPr>
        <w:jc w:val="center"/>
        <w:rPr>
          <w:b/>
          <w:sz w:val="24"/>
          <w:szCs w:val="24"/>
        </w:rPr>
      </w:pPr>
      <w:r>
        <w:rPr>
          <w:b/>
          <w:sz w:val="24"/>
          <w:szCs w:val="24"/>
        </w:rPr>
        <w:t>Felülvizsgálatok - egyeztetések</w:t>
      </w:r>
    </w:p>
    <w:p w:rsidR="00AA4379" w:rsidRDefault="00AA4379" w:rsidP="00AA4379">
      <w:pPr>
        <w:jc w:val="center"/>
        <w:rPr>
          <w:b/>
          <w:sz w:val="24"/>
          <w:szCs w:val="24"/>
        </w:rPr>
      </w:pPr>
    </w:p>
    <w:p w:rsidR="00AA4379" w:rsidRDefault="00AA4379" w:rsidP="00AA4379">
      <w:pPr>
        <w:jc w:val="center"/>
        <w:rPr>
          <w:b/>
          <w:sz w:val="24"/>
          <w:szCs w:val="24"/>
        </w:rPr>
      </w:pPr>
    </w:p>
    <w:tbl>
      <w:tblPr>
        <w:tblW w:w="9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71"/>
        <w:gridCol w:w="2884"/>
        <w:gridCol w:w="1754"/>
        <w:gridCol w:w="3150"/>
      </w:tblGrid>
      <w:tr w:rsidR="00AA4379" w:rsidRPr="00E11323" w:rsidTr="00143862">
        <w:tc>
          <w:tcPr>
            <w:tcW w:w="9959" w:type="dxa"/>
            <w:gridSpan w:val="4"/>
          </w:tcPr>
          <w:p w:rsidR="00AA4379" w:rsidRPr="00E11323" w:rsidRDefault="00AA4379" w:rsidP="00143862">
            <w:pPr>
              <w:jc w:val="center"/>
              <w:rPr>
                <w:b/>
                <w:sz w:val="24"/>
                <w:szCs w:val="24"/>
              </w:rPr>
            </w:pPr>
            <w:r w:rsidRPr="00E11323">
              <w:rPr>
                <w:b/>
                <w:sz w:val="24"/>
                <w:szCs w:val="24"/>
              </w:rPr>
              <w:t xml:space="preserve">Polgármesteri Hivatal </w:t>
            </w:r>
          </w:p>
        </w:tc>
      </w:tr>
      <w:tr w:rsidR="00AA4379" w:rsidRPr="00E11323" w:rsidTr="00143862">
        <w:trPr>
          <w:trHeight w:val="340"/>
        </w:trPr>
        <w:tc>
          <w:tcPr>
            <w:tcW w:w="2171" w:type="dxa"/>
          </w:tcPr>
          <w:p w:rsidR="00AA4379" w:rsidRPr="00E11323" w:rsidRDefault="00AA4379" w:rsidP="00143862">
            <w:pPr>
              <w:jc w:val="center"/>
              <w:rPr>
                <w:b/>
                <w:sz w:val="24"/>
                <w:szCs w:val="24"/>
              </w:rPr>
            </w:pPr>
            <w:r w:rsidRPr="00E11323">
              <w:rPr>
                <w:b/>
                <w:sz w:val="24"/>
                <w:szCs w:val="24"/>
              </w:rPr>
              <w:t xml:space="preserve">név </w:t>
            </w:r>
          </w:p>
        </w:tc>
        <w:tc>
          <w:tcPr>
            <w:tcW w:w="2884" w:type="dxa"/>
          </w:tcPr>
          <w:p w:rsidR="00AA4379" w:rsidRPr="00E11323" w:rsidRDefault="00AA4379" w:rsidP="00143862">
            <w:pPr>
              <w:jc w:val="center"/>
              <w:rPr>
                <w:b/>
                <w:sz w:val="24"/>
                <w:szCs w:val="24"/>
              </w:rPr>
            </w:pPr>
            <w:r w:rsidRPr="00E11323">
              <w:rPr>
                <w:b/>
                <w:sz w:val="24"/>
                <w:szCs w:val="24"/>
              </w:rPr>
              <w:t>beosztás/feladat</w:t>
            </w:r>
          </w:p>
        </w:tc>
        <w:tc>
          <w:tcPr>
            <w:tcW w:w="1754" w:type="dxa"/>
          </w:tcPr>
          <w:p w:rsidR="00AA4379" w:rsidRPr="00E11323" w:rsidRDefault="00AA4379" w:rsidP="00143862">
            <w:pPr>
              <w:jc w:val="center"/>
              <w:rPr>
                <w:b/>
                <w:sz w:val="24"/>
                <w:szCs w:val="24"/>
              </w:rPr>
            </w:pPr>
            <w:r w:rsidRPr="00E11323">
              <w:rPr>
                <w:b/>
                <w:sz w:val="24"/>
                <w:szCs w:val="24"/>
              </w:rPr>
              <w:t xml:space="preserve">aláírás </w:t>
            </w:r>
          </w:p>
        </w:tc>
        <w:tc>
          <w:tcPr>
            <w:tcW w:w="3150" w:type="dxa"/>
          </w:tcPr>
          <w:p w:rsidR="00AA4379" w:rsidRPr="00E11323" w:rsidRDefault="00AA4379" w:rsidP="00143862">
            <w:pPr>
              <w:jc w:val="center"/>
              <w:rPr>
                <w:b/>
                <w:sz w:val="24"/>
                <w:szCs w:val="24"/>
              </w:rPr>
            </w:pPr>
            <w:r w:rsidRPr="00E11323">
              <w:rPr>
                <w:b/>
                <w:sz w:val="24"/>
                <w:szCs w:val="24"/>
              </w:rPr>
              <w:t xml:space="preserve">megjegyzés </w:t>
            </w:r>
          </w:p>
        </w:tc>
      </w:tr>
      <w:tr w:rsidR="00AA4379" w:rsidRPr="00866FF2" w:rsidTr="00143862">
        <w:trPr>
          <w:trHeight w:val="680"/>
        </w:trPr>
        <w:tc>
          <w:tcPr>
            <w:tcW w:w="2171" w:type="dxa"/>
            <w:vAlign w:val="center"/>
          </w:tcPr>
          <w:p w:rsidR="00AA4379" w:rsidRPr="00866FF2" w:rsidRDefault="00AA4379" w:rsidP="00143862">
            <w:pPr>
              <w:rPr>
                <w:sz w:val="24"/>
                <w:szCs w:val="24"/>
              </w:rPr>
            </w:pPr>
            <w:r w:rsidRPr="00866FF2">
              <w:rPr>
                <w:sz w:val="24"/>
                <w:szCs w:val="24"/>
              </w:rPr>
              <w:t>Szűrösné Németh Hajnalka</w:t>
            </w:r>
          </w:p>
        </w:tc>
        <w:tc>
          <w:tcPr>
            <w:tcW w:w="2884" w:type="dxa"/>
            <w:vAlign w:val="center"/>
          </w:tcPr>
          <w:p w:rsidR="00AA4379" w:rsidRPr="00866FF2" w:rsidRDefault="00AA4379" w:rsidP="00143862">
            <w:pPr>
              <w:jc w:val="center"/>
              <w:rPr>
                <w:sz w:val="24"/>
                <w:szCs w:val="24"/>
              </w:rPr>
            </w:pPr>
            <w:r w:rsidRPr="00866FF2">
              <w:rPr>
                <w:sz w:val="24"/>
                <w:szCs w:val="24"/>
              </w:rPr>
              <w:t>előterjesztés készítője</w:t>
            </w:r>
          </w:p>
        </w:tc>
        <w:tc>
          <w:tcPr>
            <w:tcW w:w="1754" w:type="dxa"/>
          </w:tcPr>
          <w:p w:rsidR="00AA4379" w:rsidRPr="00866FF2" w:rsidRDefault="00AA4379" w:rsidP="00143862">
            <w:pPr>
              <w:jc w:val="center"/>
              <w:rPr>
                <w:sz w:val="24"/>
                <w:szCs w:val="24"/>
              </w:rPr>
            </w:pPr>
          </w:p>
        </w:tc>
        <w:tc>
          <w:tcPr>
            <w:tcW w:w="3150" w:type="dxa"/>
          </w:tcPr>
          <w:p w:rsidR="00AA4379" w:rsidRPr="00866FF2" w:rsidRDefault="00AA4379" w:rsidP="00143862">
            <w:pPr>
              <w:jc w:val="center"/>
              <w:rPr>
                <w:sz w:val="24"/>
                <w:szCs w:val="24"/>
              </w:rPr>
            </w:pPr>
          </w:p>
        </w:tc>
      </w:tr>
      <w:tr w:rsidR="00AA4379" w:rsidRPr="00866FF2" w:rsidTr="00143862">
        <w:trPr>
          <w:trHeight w:val="680"/>
        </w:trPr>
        <w:tc>
          <w:tcPr>
            <w:tcW w:w="2171" w:type="dxa"/>
            <w:vAlign w:val="center"/>
          </w:tcPr>
          <w:p w:rsidR="00AA4379" w:rsidRPr="00866FF2" w:rsidRDefault="00AA4379" w:rsidP="00143862">
            <w:pPr>
              <w:rPr>
                <w:sz w:val="24"/>
                <w:szCs w:val="24"/>
              </w:rPr>
            </w:pPr>
            <w:r w:rsidRPr="00866FF2">
              <w:rPr>
                <w:sz w:val="24"/>
                <w:szCs w:val="24"/>
              </w:rPr>
              <w:t>Fábiánné Hoffman Márta</w:t>
            </w:r>
          </w:p>
        </w:tc>
        <w:tc>
          <w:tcPr>
            <w:tcW w:w="2884" w:type="dxa"/>
            <w:vAlign w:val="center"/>
          </w:tcPr>
          <w:p w:rsidR="00AA4379" w:rsidRPr="00866FF2" w:rsidRDefault="00AA4379" w:rsidP="00143862">
            <w:pPr>
              <w:jc w:val="center"/>
              <w:rPr>
                <w:sz w:val="24"/>
                <w:szCs w:val="24"/>
              </w:rPr>
            </w:pPr>
            <w:r w:rsidRPr="00866FF2">
              <w:rPr>
                <w:sz w:val="24"/>
                <w:szCs w:val="24"/>
              </w:rPr>
              <w:t>Mb. hatósági osztályvezető/</w:t>
            </w:r>
          </w:p>
          <w:p w:rsidR="00AA4379" w:rsidRPr="00866FF2" w:rsidRDefault="00AA4379" w:rsidP="00143862">
            <w:pPr>
              <w:jc w:val="center"/>
              <w:rPr>
                <w:sz w:val="24"/>
                <w:szCs w:val="24"/>
              </w:rPr>
            </w:pPr>
            <w:r w:rsidRPr="00866FF2">
              <w:rPr>
                <w:sz w:val="24"/>
                <w:szCs w:val="24"/>
              </w:rPr>
              <w:t>előterjesztés készítője</w:t>
            </w:r>
          </w:p>
        </w:tc>
        <w:tc>
          <w:tcPr>
            <w:tcW w:w="1754" w:type="dxa"/>
          </w:tcPr>
          <w:p w:rsidR="00AA4379" w:rsidRPr="00866FF2" w:rsidRDefault="00AA4379" w:rsidP="00143862">
            <w:pPr>
              <w:jc w:val="center"/>
              <w:rPr>
                <w:sz w:val="24"/>
                <w:szCs w:val="24"/>
              </w:rPr>
            </w:pPr>
          </w:p>
        </w:tc>
        <w:tc>
          <w:tcPr>
            <w:tcW w:w="3150" w:type="dxa"/>
          </w:tcPr>
          <w:p w:rsidR="00AA4379" w:rsidRPr="00866FF2" w:rsidRDefault="00AA4379" w:rsidP="00143862">
            <w:pPr>
              <w:jc w:val="center"/>
              <w:rPr>
                <w:sz w:val="24"/>
                <w:szCs w:val="24"/>
              </w:rPr>
            </w:pPr>
          </w:p>
        </w:tc>
      </w:tr>
      <w:tr w:rsidR="00AA4379" w:rsidRPr="00866FF2" w:rsidTr="00143862">
        <w:trPr>
          <w:trHeight w:val="680"/>
        </w:trPr>
        <w:tc>
          <w:tcPr>
            <w:tcW w:w="2171" w:type="dxa"/>
            <w:vAlign w:val="center"/>
          </w:tcPr>
          <w:p w:rsidR="00AA4379" w:rsidRPr="00866FF2" w:rsidRDefault="00AA4379" w:rsidP="00143862">
            <w:pPr>
              <w:rPr>
                <w:sz w:val="24"/>
                <w:szCs w:val="24"/>
              </w:rPr>
            </w:pPr>
            <w:r w:rsidRPr="00866FF2">
              <w:rPr>
                <w:sz w:val="24"/>
                <w:szCs w:val="24"/>
              </w:rPr>
              <w:t>Szintén László</w:t>
            </w:r>
          </w:p>
        </w:tc>
        <w:tc>
          <w:tcPr>
            <w:tcW w:w="2884" w:type="dxa"/>
            <w:vAlign w:val="center"/>
          </w:tcPr>
          <w:p w:rsidR="00AA4379" w:rsidRPr="00866FF2" w:rsidRDefault="00AA4379" w:rsidP="00143862">
            <w:pPr>
              <w:jc w:val="center"/>
              <w:rPr>
                <w:sz w:val="24"/>
                <w:szCs w:val="24"/>
              </w:rPr>
            </w:pPr>
            <w:r w:rsidRPr="00866FF2">
              <w:rPr>
                <w:sz w:val="24"/>
                <w:szCs w:val="24"/>
              </w:rPr>
              <w:t>Közgazdasági osztályvezető/pénzügyi ellenőrzés</w:t>
            </w:r>
          </w:p>
        </w:tc>
        <w:tc>
          <w:tcPr>
            <w:tcW w:w="1754" w:type="dxa"/>
          </w:tcPr>
          <w:p w:rsidR="00AA4379" w:rsidRPr="00866FF2" w:rsidRDefault="00AA4379" w:rsidP="00143862">
            <w:pPr>
              <w:jc w:val="center"/>
              <w:rPr>
                <w:sz w:val="24"/>
                <w:szCs w:val="24"/>
              </w:rPr>
            </w:pPr>
          </w:p>
        </w:tc>
        <w:tc>
          <w:tcPr>
            <w:tcW w:w="3150" w:type="dxa"/>
          </w:tcPr>
          <w:p w:rsidR="00AA4379" w:rsidRPr="00866FF2" w:rsidRDefault="00AA4379" w:rsidP="00143862">
            <w:pPr>
              <w:jc w:val="center"/>
              <w:rPr>
                <w:sz w:val="24"/>
                <w:szCs w:val="24"/>
              </w:rPr>
            </w:pPr>
          </w:p>
        </w:tc>
      </w:tr>
      <w:tr w:rsidR="00AA4379" w:rsidRPr="00866FF2" w:rsidTr="00143862">
        <w:trPr>
          <w:trHeight w:val="680"/>
        </w:trPr>
        <w:tc>
          <w:tcPr>
            <w:tcW w:w="2171" w:type="dxa"/>
            <w:vAlign w:val="center"/>
          </w:tcPr>
          <w:p w:rsidR="00AA4379" w:rsidRPr="00866FF2" w:rsidRDefault="00AA4379" w:rsidP="00143862">
            <w:pPr>
              <w:rPr>
                <w:sz w:val="24"/>
                <w:szCs w:val="24"/>
              </w:rPr>
            </w:pPr>
            <w:r w:rsidRPr="00866FF2">
              <w:rPr>
                <w:sz w:val="24"/>
                <w:szCs w:val="24"/>
              </w:rPr>
              <w:t>dr. Tüske Róbert</w:t>
            </w:r>
          </w:p>
        </w:tc>
        <w:tc>
          <w:tcPr>
            <w:tcW w:w="2884" w:type="dxa"/>
            <w:vAlign w:val="center"/>
          </w:tcPr>
          <w:p w:rsidR="00AA4379" w:rsidRPr="00866FF2" w:rsidRDefault="00AA4379" w:rsidP="00143862">
            <w:pPr>
              <w:jc w:val="center"/>
              <w:rPr>
                <w:sz w:val="24"/>
                <w:szCs w:val="24"/>
              </w:rPr>
            </w:pPr>
            <w:r w:rsidRPr="00866FF2">
              <w:rPr>
                <w:sz w:val="24"/>
                <w:szCs w:val="24"/>
              </w:rPr>
              <w:t>törvényességi felülvizsgálat</w:t>
            </w:r>
          </w:p>
        </w:tc>
        <w:tc>
          <w:tcPr>
            <w:tcW w:w="1754" w:type="dxa"/>
          </w:tcPr>
          <w:p w:rsidR="00AA4379" w:rsidRPr="00866FF2" w:rsidRDefault="00AA4379" w:rsidP="00143862">
            <w:pPr>
              <w:jc w:val="center"/>
              <w:rPr>
                <w:sz w:val="24"/>
                <w:szCs w:val="24"/>
              </w:rPr>
            </w:pPr>
          </w:p>
        </w:tc>
        <w:tc>
          <w:tcPr>
            <w:tcW w:w="3150" w:type="dxa"/>
          </w:tcPr>
          <w:p w:rsidR="00AA4379" w:rsidRPr="00866FF2" w:rsidRDefault="00AA4379" w:rsidP="00143862">
            <w:pPr>
              <w:jc w:val="center"/>
              <w:rPr>
                <w:sz w:val="24"/>
                <w:szCs w:val="24"/>
              </w:rPr>
            </w:pPr>
          </w:p>
        </w:tc>
      </w:tr>
    </w:tbl>
    <w:p w:rsidR="00AA4379" w:rsidRPr="00866FF2" w:rsidRDefault="00AA4379" w:rsidP="00AA4379">
      <w:pPr>
        <w:jc w:val="center"/>
        <w:rPr>
          <w:sz w:val="24"/>
          <w:szCs w:val="24"/>
        </w:rPr>
      </w:pPr>
    </w:p>
    <w:p w:rsidR="00AA4379" w:rsidRDefault="00AA4379" w:rsidP="00AA4379">
      <w:pPr>
        <w:jc w:val="center"/>
        <w:rPr>
          <w:b/>
          <w:sz w:val="24"/>
          <w:szCs w:val="24"/>
        </w:rPr>
      </w:pPr>
    </w:p>
    <w:p w:rsidR="00AA4379" w:rsidRDefault="00AA4379" w:rsidP="00AA4379">
      <w:pPr>
        <w:jc w:val="center"/>
        <w:rPr>
          <w:b/>
          <w:sz w:val="24"/>
          <w:szCs w:val="24"/>
        </w:rPr>
      </w:pPr>
    </w:p>
    <w:tbl>
      <w:tblPr>
        <w:tblW w:w="99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83"/>
        <w:gridCol w:w="2483"/>
        <w:gridCol w:w="2483"/>
        <w:gridCol w:w="2485"/>
      </w:tblGrid>
      <w:tr w:rsidR="00AA4379" w:rsidRPr="00E11323" w:rsidTr="00143862">
        <w:trPr>
          <w:trHeight w:val="277"/>
        </w:trPr>
        <w:tc>
          <w:tcPr>
            <w:tcW w:w="9933" w:type="dxa"/>
            <w:gridSpan w:val="4"/>
          </w:tcPr>
          <w:p w:rsidR="00AA4379" w:rsidRPr="00E11323" w:rsidRDefault="00AA4379" w:rsidP="00143862">
            <w:pPr>
              <w:jc w:val="center"/>
              <w:rPr>
                <w:b/>
                <w:sz w:val="24"/>
                <w:szCs w:val="24"/>
              </w:rPr>
            </w:pPr>
            <w:r w:rsidRPr="00E11323">
              <w:rPr>
                <w:b/>
                <w:sz w:val="24"/>
                <w:szCs w:val="24"/>
              </w:rPr>
              <w:t xml:space="preserve">Külsős partner </w:t>
            </w:r>
          </w:p>
        </w:tc>
      </w:tr>
      <w:tr w:rsidR="00AA4379" w:rsidRPr="00E11323" w:rsidTr="00143862">
        <w:trPr>
          <w:trHeight w:val="277"/>
        </w:trPr>
        <w:tc>
          <w:tcPr>
            <w:tcW w:w="2483" w:type="dxa"/>
          </w:tcPr>
          <w:p w:rsidR="00AA4379" w:rsidRPr="00E11323" w:rsidRDefault="00AA4379" w:rsidP="00143862">
            <w:pPr>
              <w:jc w:val="center"/>
              <w:rPr>
                <w:b/>
                <w:sz w:val="24"/>
                <w:szCs w:val="24"/>
              </w:rPr>
            </w:pPr>
            <w:r w:rsidRPr="00E11323">
              <w:rPr>
                <w:b/>
                <w:sz w:val="24"/>
                <w:szCs w:val="24"/>
              </w:rPr>
              <w:t>név</w:t>
            </w:r>
          </w:p>
        </w:tc>
        <w:tc>
          <w:tcPr>
            <w:tcW w:w="2483" w:type="dxa"/>
          </w:tcPr>
          <w:p w:rsidR="00AA4379" w:rsidRPr="00E11323" w:rsidRDefault="00AA4379" w:rsidP="00143862">
            <w:pPr>
              <w:jc w:val="center"/>
              <w:rPr>
                <w:b/>
                <w:sz w:val="24"/>
                <w:szCs w:val="24"/>
              </w:rPr>
            </w:pPr>
            <w:r w:rsidRPr="00E11323">
              <w:rPr>
                <w:b/>
                <w:sz w:val="24"/>
                <w:szCs w:val="24"/>
              </w:rPr>
              <w:t>beosztás</w:t>
            </w:r>
          </w:p>
        </w:tc>
        <w:tc>
          <w:tcPr>
            <w:tcW w:w="2483" w:type="dxa"/>
          </w:tcPr>
          <w:p w:rsidR="00AA4379" w:rsidRPr="00E11323" w:rsidRDefault="00AA4379" w:rsidP="00143862">
            <w:pPr>
              <w:jc w:val="center"/>
              <w:rPr>
                <w:b/>
                <w:sz w:val="24"/>
                <w:szCs w:val="24"/>
              </w:rPr>
            </w:pPr>
            <w:r w:rsidRPr="00E11323">
              <w:rPr>
                <w:b/>
                <w:sz w:val="24"/>
                <w:szCs w:val="24"/>
              </w:rPr>
              <w:t>aláírás</w:t>
            </w:r>
          </w:p>
        </w:tc>
        <w:tc>
          <w:tcPr>
            <w:tcW w:w="2485" w:type="dxa"/>
          </w:tcPr>
          <w:p w:rsidR="00AA4379" w:rsidRPr="00E11323" w:rsidRDefault="00AA4379" w:rsidP="00143862">
            <w:pPr>
              <w:jc w:val="center"/>
              <w:rPr>
                <w:b/>
                <w:sz w:val="24"/>
                <w:szCs w:val="24"/>
              </w:rPr>
            </w:pPr>
            <w:r w:rsidRPr="00E11323">
              <w:rPr>
                <w:b/>
                <w:sz w:val="24"/>
                <w:szCs w:val="24"/>
              </w:rPr>
              <w:t xml:space="preserve">megjegyzés </w:t>
            </w:r>
          </w:p>
        </w:tc>
      </w:tr>
      <w:tr w:rsidR="00AA4379" w:rsidRPr="00E11323" w:rsidTr="00143862">
        <w:trPr>
          <w:trHeight w:val="707"/>
        </w:trPr>
        <w:tc>
          <w:tcPr>
            <w:tcW w:w="2483" w:type="dxa"/>
          </w:tcPr>
          <w:p w:rsidR="00AA4379" w:rsidRPr="00E11323" w:rsidRDefault="00AA4379" w:rsidP="00143862">
            <w:pPr>
              <w:jc w:val="center"/>
              <w:rPr>
                <w:b/>
                <w:sz w:val="24"/>
                <w:szCs w:val="24"/>
              </w:rPr>
            </w:pPr>
          </w:p>
        </w:tc>
        <w:tc>
          <w:tcPr>
            <w:tcW w:w="2483" w:type="dxa"/>
          </w:tcPr>
          <w:p w:rsidR="00AA4379" w:rsidRPr="00E11323" w:rsidRDefault="00AA4379" w:rsidP="00143862">
            <w:pPr>
              <w:rPr>
                <w:b/>
                <w:sz w:val="24"/>
                <w:szCs w:val="24"/>
              </w:rPr>
            </w:pPr>
          </w:p>
        </w:tc>
        <w:tc>
          <w:tcPr>
            <w:tcW w:w="2483" w:type="dxa"/>
          </w:tcPr>
          <w:p w:rsidR="00AA4379" w:rsidRPr="00E11323" w:rsidRDefault="00AA4379" w:rsidP="00143862">
            <w:pPr>
              <w:jc w:val="center"/>
              <w:rPr>
                <w:b/>
                <w:sz w:val="24"/>
                <w:szCs w:val="24"/>
              </w:rPr>
            </w:pPr>
          </w:p>
        </w:tc>
        <w:tc>
          <w:tcPr>
            <w:tcW w:w="2485" w:type="dxa"/>
          </w:tcPr>
          <w:p w:rsidR="00AA4379" w:rsidRPr="00E11323" w:rsidRDefault="00AA4379" w:rsidP="00143862">
            <w:pPr>
              <w:jc w:val="center"/>
              <w:rPr>
                <w:b/>
                <w:sz w:val="24"/>
                <w:szCs w:val="24"/>
              </w:rPr>
            </w:pPr>
          </w:p>
        </w:tc>
      </w:tr>
      <w:tr w:rsidR="00AA4379" w:rsidRPr="00E11323" w:rsidTr="00143862">
        <w:trPr>
          <w:trHeight w:val="829"/>
        </w:trPr>
        <w:tc>
          <w:tcPr>
            <w:tcW w:w="2483" w:type="dxa"/>
          </w:tcPr>
          <w:p w:rsidR="00AA4379" w:rsidRPr="00E11323" w:rsidRDefault="00AA4379" w:rsidP="00143862">
            <w:pPr>
              <w:jc w:val="center"/>
              <w:rPr>
                <w:b/>
                <w:sz w:val="24"/>
                <w:szCs w:val="24"/>
              </w:rPr>
            </w:pPr>
          </w:p>
        </w:tc>
        <w:tc>
          <w:tcPr>
            <w:tcW w:w="2483" w:type="dxa"/>
          </w:tcPr>
          <w:p w:rsidR="00AA4379" w:rsidRPr="00E11323" w:rsidRDefault="00AA4379" w:rsidP="00143862">
            <w:pPr>
              <w:jc w:val="center"/>
              <w:rPr>
                <w:b/>
                <w:sz w:val="24"/>
                <w:szCs w:val="24"/>
              </w:rPr>
            </w:pPr>
          </w:p>
        </w:tc>
        <w:tc>
          <w:tcPr>
            <w:tcW w:w="2483" w:type="dxa"/>
          </w:tcPr>
          <w:p w:rsidR="00AA4379" w:rsidRPr="00E11323" w:rsidRDefault="00AA4379" w:rsidP="00143862">
            <w:pPr>
              <w:jc w:val="center"/>
              <w:rPr>
                <w:b/>
                <w:sz w:val="24"/>
                <w:szCs w:val="24"/>
              </w:rPr>
            </w:pPr>
          </w:p>
        </w:tc>
        <w:tc>
          <w:tcPr>
            <w:tcW w:w="2485" w:type="dxa"/>
          </w:tcPr>
          <w:p w:rsidR="00AA4379" w:rsidRPr="00E11323" w:rsidRDefault="00AA4379" w:rsidP="00143862">
            <w:pPr>
              <w:jc w:val="center"/>
              <w:rPr>
                <w:b/>
                <w:sz w:val="24"/>
                <w:szCs w:val="24"/>
              </w:rPr>
            </w:pPr>
          </w:p>
        </w:tc>
      </w:tr>
    </w:tbl>
    <w:p w:rsidR="00AA4379" w:rsidRPr="00843DC2" w:rsidRDefault="00AA4379" w:rsidP="00AA4379">
      <w:pPr>
        <w:jc w:val="center"/>
        <w:rPr>
          <w:b/>
          <w:sz w:val="24"/>
          <w:szCs w:val="24"/>
        </w:rPr>
      </w:pPr>
    </w:p>
    <w:p w:rsidR="00AA4379" w:rsidRDefault="00AA4379" w:rsidP="00AA4379">
      <w:pPr>
        <w:jc w:val="center"/>
        <w:rPr>
          <w:b/>
          <w:sz w:val="24"/>
          <w:szCs w:val="24"/>
        </w:rPr>
      </w:pPr>
    </w:p>
    <w:p w:rsidR="00AA4379" w:rsidRDefault="00AA4379" w:rsidP="00AA4379">
      <w:pPr>
        <w:jc w:val="center"/>
        <w:rPr>
          <w:b/>
          <w:sz w:val="24"/>
          <w:szCs w:val="24"/>
        </w:rPr>
      </w:pPr>
    </w:p>
    <w:p w:rsidR="00AA4379" w:rsidRDefault="00AA4379" w:rsidP="00AA4379">
      <w:pPr>
        <w:jc w:val="center"/>
        <w:rPr>
          <w:b/>
          <w:sz w:val="24"/>
          <w:szCs w:val="24"/>
        </w:rPr>
      </w:pPr>
    </w:p>
    <w:p w:rsidR="00AA4379" w:rsidRDefault="00AA4379" w:rsidP="00AA4379">
      <w:pPr>
        <w:jc w:val="center"/>
        <w:rPr>
          <w:b/>
          <w:sz w:val="24"/>
          <w:szCs w:val="24"/>
        </w:rPr>
      </w:pPr>
    </w:p>
    <w:p w:rsidR="00AA4379" w:rsidRDefault="00AA4379" w:rsidP="00AA4379">
      <w:pPr>
        <w:jc w:val="center"/>
        <w:rPr>
          <w:b/>
          <w:sz w:val="24"/>
          <w:szCs w:val="24"/>
        </w:rPr>
      </w:pPr>
    </w:p>
    <w:p w:rsidR="00AA4379" w:rsidRDefault="00AA4379" w:rsidP="00AA4379">
      <w:pPr>
        <w:jc w:val="center"/>
        <w:rPr>
          <w:b/>
          <w:sz w:val="24"/>
          <w:szCs w:val="24"/>
        </w:rPr>
      </w:pPr>
    </w:p>
    <w:p w:rsidR="00AA4379" w:rsidRDefault="00AA4379" w:rsidP="00AA4379">
      <w:pPr>
        <w:jc w:val="center"/>
        <w:rPr>
          <w:b/>
          <w:sz w:val="24"/>
          <w:szCs w:val="24"/>
        </w:rPr>
      </w:pPr>
    </w:p>
    <w:p w:rsidR="00AA4379" w:rsidRDefault="00AA4379" w:rsidP="00AA4379">
      <w:pPr>
        <w:jc w:val="center"/>
        <w:rPr>
          <w:b/>
          <w:sz w:val="24"/>
          <w:szCs w:val="24"/>
        </w:rPr>
      </w:pPr>
    </w:p>
    <w:p w:rsidR="00AA4379" w:rsidRDefault="00AA4379" w:rsidP="00AA4379"/>
    <w:p w:rsidR="00AA4379" w:rsidRPr="00D04D4B" w:rsidRDefault="00AA4379" w:rsidP="00AA4379">
      <w:pPr>
        <w:jc w:val="both"/>
      </w:pPr>
    </w:p>
    <w:p w:rsidR="00AA4379" w:rsidRDefault="00AA4379" w:rsidP="0066133F">
      <w:pPr>
        <w:jc w:val="both"/>
      </w:pPr>
    </w:p>
    <w:p w:rsidR="00AA4379" w:rsidRPr="00D04D4B" w:rsidRDefault="00AA4379" w:rsidP="0066133F">
      <w:pPr>
        <w:jc w:val="both"/>
      </w:pPr>
    </w:p>
    <w:sectPr w:rsidR="00AA4379" w:rsidRPr="00D04D4B" w:rsidSect="002A550F">
      <w:pgSz w:w="11906" w:h="16838"/>
      <w:pgMar w:top="1417" w:right="1417" w:bottom="1417" w:left="141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65ED0" w:rsidRDefault="00A65ED0" w:rsidP="00A84F2E">
      <w:r>
        <w:separator/>
      </w:r>
    </w:p>
  </w:endnote>
  <w:endnote w:type="continuationSeparator" w:id="0">
    <w:p w:rsidR="00A65ED0" w:rsidRDefault="00A65ED0" w:rsidP="00A84F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notTrueType/>
    <w:pitch w:val="variable"/>
    <w:sig w:usb0="00000003" w:usb1="00000000" w:usb2="00000000" w:usb3="00000000" w:csb0="00000001" w:csb1="00000000"/>
  </w:font>
  <w:font w:name="Webdings">
    <w:panose1 w:val="05030102010509060703"/>
    <w:charset w:val="02"/>
    <w:family w:val="roman"/>
    <w:pitch w:val="variable"/>
    <w:sig w:usb0="00000000" w:usb1="10000000" w:usb2="00000000" w:usb3="00000000" w:csb0="80000000" w:csb1="00000000"/>
  </w:font>
  <w:font w:name="Book Antiqua">
    <w:panose1 w:val="02040602050305030304"/>
    <w:charset w:val="EE"/>
    <w:family w:val="roman"/>
    <w:pitch w:val="variable"/>
    <w:sig w:usb0="00000287" w:usb1="00000000" w:usb2="00000000" w:usb3="00000000" w:csb0="000000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4F2E" w:rsidRDefault="00A84F2E">
    <w:pPr>
      <w:pStyle w:val="llb"/>
      <w:jc w:val="right"/>
    </w:pPr>
    <w:r>
      <w:fldChar w:fldCharType="begin"/>
    </w:r>
    <w:r>
      <w:instrText>PAGE   \* MERGEFORMAT</w:instrText>
    </w:r>
    <w:r>
      <w:fldChar w:fldCharType="separate"/>
    </w:r>
    <w:r w:rsidR="00E243CD" w:rsidRPr="00E243CD">
      <w:rPr>
        <w:noProof/>
        <w:lang w:val="hu-HU"/>
      </w:rPr>
      <w:t>4</w:t>
    </w:r>
    <w:r>
      <w:fldChar w:fldCharType="end"/>
    </w:r>
  </w:p>
  <w:p w:rsidR="00A84F2E" w:rsidRDefault="00A84F2E">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65ED0" w:rsidRDefault="00A65ED0" w:rsidP="00A84F2E">
      <w:r>
        <w:separator/>
      </w:r>
    </w:p>
  </w:footnote>
  <w:footnote w:type="continuationSeparator" w:id="0">
    <w:p w:rsidR="00A65ED0" w:rsidRDefault="00A65ED0" w:rsidP="00A84F2E">
      <w:r>
        <w:continuationSeparator/>
      </w:r>
    </w:p>
  </w:footnote>
  <w:footnote w:id="1">
    <w:p w:rsidR="00A84F2E" w:rsidRPr="00DB7D1C" w:rsidRDefault="00A84F2E" w:rsidP="00A84F2E">
      <w:pPr>
        <w:pStyle w:val="Lbjegyzetszveg"/>
        <w:jc w:val="both"/>
        <w:rPr>
          <w:rFonts w:ascii="Calibri" w:hAnsi="Calibri" w:cs="Calibri"/>
          <w:sz w:val="18"/>
          <w:szCs w:val="18"/>
        </w:rPr>
      </w:pPr>
      <w:r w:rsidRPr="00DB7D1C">
        <w:rPr>
          <w:rStyle w:val="Lbjegyzet-hivatkozs"/>
          <w:rFonts w:ascii="Calibri" w:hAnsi="Calibri" w:cs="Calibri"/>
          <w:sz w:val="18"/>
          <w:szCs w:val="18"/>
        </w:rPr>
        <w:footnoteRef/>
      </w:r>
      <w:r w:rsidRPr="00DB7D1C">
        <w:rPr>
          <w:rFonts w:ascii="Calibri" w:hAnsi="Calibri" w:cs="Calibri"/>
          <w:sz w:val="18"/>
          <w:szCs w:val="18"/>
        </w:rPr>
        <w:t xml:space="preserve"> Az egyesülés által érintett vállalkozásoknak nyújtott valamennyi korábbi csekély összegű támogatást bele kell számítani az egyesülés révén létrejövő, vagy jogutód pályázó csekély összegű támogatási keretébe. Az egyesülést megelőzően jogszerűen odaítélt csekély összegű támogatás később is jogszerű marad.</w:t>
      </w:r>
    </w:p>
    <w:p w:rsidR="00A84F2E" w:rsidRPr="00DB7D1C" w:rsidRDefault="00A84F2E" w:rsidP="00A84F2E">
      <w:pPr>
        <w:pStyle w:val="Lbjegyzetszveg"/>
        <w:jc w:val="both"/>
        <w:rPr>
          <w:rFonts w:ascii="Calibri" w:hAnsi="Calibri" w:cs="Calibri"/>
          <w:sz w:val="18"/>
          <w:szCs w:val="18"/>
        </w:rPr>
      </w:pPr>
    </w:p>
    <w:p w:rsidR="00A84F2E" w:rsidRDefault="00A84F2E" w:rsidP="00A84F2E">
      <w:pPr>
        <w:pStyle w:val="Lbjegyzetszveg"/>
        <w:jc w:val="both"/>
      </w:pPr>
      <w:r w:rsidRPr="00DB7D1C">
        <w:rPr>
          <w:rFonts w:ascii="Calibri" w:hAnsi="Calibri" w:cs="Calibri"/>
          <w:sz w:val="18"/>
          <w:szCs w:val="18"/>
        </w:rPr>
        <w:t>Ha egy vállalkozás két vagy több vállalkozásra válik szét, a szétválást megelőzően nyújtott csekély összegű támogatást az eredetileg a támogatásban részesülő azon vállalkozásnak kell betudni, amely a csekély összegű támogatással támogatott tevékenységet átvállalta. Ha ennek meghatározására nincs lehetőség, a csekély összegű támogatást a saját tőkének a szétválás tényleges időpontjában érvényes könyv szerinti értéke alapján arányosan el kell osztani a szétválás által érintett vállalkozások között.</w:t>
      </w:r>
    </w:p>
  </w:footnote>
  <w:footnote w:id="2">
    <w:p w:rsidR="00A84F2E" w:rsidRPr="00DB7D1C" w:rsidRDefault="00A84F2E" w:rsidP="00A84F2E">
      <w:pPr>
        <w:pStyle w:val="Lbjegyzetszveg"/>
        <w:jc w:val="both"/>
        <w:rPr>
          <w:rFonts w:ascii="Calibri" w:hAnsi="Calibri" w:cs="Calibri"/>
          <w:sz w:val="18"/>
          <w:szCs w:val="18"/>
        </w:rPr>
      </w:pPr>
      <w:r w:rsidRPr="00DB7D1C">
        <w:rPr>
          <w:rStyle w:val="Lbjegyzet-hivatkozs"/>
          <w:rFonts w:ascii="Calibri" w:hAnsi="Calibri" w:cs="Calibri"/>
          <w:sz w:val="18"/>
          <w:szCs w:val="18"/>
        </w:rPr>
        <w:footnoteRef/>
      </w:r>
      <w:r w:rsidRPr="00DB7D1C">
        <w:rPr>
          <w:rFonts w:ascii="Calibri" w:hAnsi="Calibri" w:cs="Calibri"/>
          <w:sz w:val="18"/>
          <w:szCs w:val="18"/>
        </w:rPr>
        <w:t xml:space="preserve"> Az egyesülésre és szétválásra vonatkozó szabályok, valamint és az egy és ugyanazon vállalkozás fogalma által érintett vállalkozások tekintetében is ki kell tölteni.</w:t>
      </w:r>
    </w:p>
  </w:footnote>
  <w:footnote w:id="3">
    <w:p w:rsidR="00A84F2E" w:rsidRPr="00DB7D1C" w:rsidRDefault="00A84F2E" w:rsidP="00A84F2E">
      <w:pPr>
        <w:pStyle w:val="Lbjegyzetszveg"/>
        <w:jc w:val="both"/>
        <w:rPr>
          <w:rFonts w:ascii="Calibri" w:hAnsi="Calibri" w:cs="Calibri"/>
          <w:sz w:val="18"/>
          <w:szCs w:val="18"/>
        </w:rPr>
      </w:pPr>
      <w:r w:rsidRPr="00DB7D1C">
        <w:rPr>
          <w:rStyle w:val="Lbjegyzet-hivatkozs"/>
          <w:rFonts w:ascii="Calibri" w:hAnsi="Calibri" w:cs="Calibri"/>
          <w:sz w:val="18"/>
          <w:szCs w:val="18"/>
        </w:rPr>
        <w:footnoteRef/>
      </w:r>
      <w:r w:rsidRPr="00DB7D1C">
        <w:rPr>
          <w:rFonts w:ascii="Calibri" w:hAnsi="Calibri" w:cs="Calibri"/>
          <w:sz w:val="18"/>
          <w:szCs w:val="18"/>
        </w:rPr>
        <w:t xml:space="preserve"> Amennyiben a támogatásról még nem született döntés.</w:t>
      </w:r>
    </w:p>
  </w:footnote>
  <w:footnote w:id="4">
    <w:p w:rsidR="00A84F2E" w:rsidRPr="00DB7D1C" w:rsidRDefault="00A84F2E" w:rsidP="00A84F2E">
      <w:pPr>
        <w:pStyle w:val="Lbjegyzetszveg"/>
        <w:jc w:val="both"/>
        <w:rPr>
          <w:rFonts w:ascii="Calibri" w:hAnsi="Calibri" w:cs="Calibri"/>
          <w:sz w:val="18"/>
          <w:szCs w:val="18"/>
        </w:rPr>
      </w:pPr>
      <w:r w:rsidRPr="00DB7D1C">
        <w:rPr>
          <w:rStyle w:val="Lbjegyzet-hivatkozs"/>
          <w:rFonts w:ascii="Calibri" w:hAnsi="Calibri" w:cs="Calibri"/>
          <w:sz w:val="18"/>
          <w:szCs w:val="18"/>
        </w:rPr>
        <w:footnoteRef/>
      </w:r>
      <w:r w:rsidRPr="00DB7D1C">
        <w:rPr>
          <w:rFonts w:ascii="Calibri" w:hAnsi="Calibri" w:cs="Calibri"/>
          <w:sz w:val="18"/>
          <w:szCs w:val="18"/>
        </w:rPr>
        <w:t xml:space="preserve"> Az európai uniós versenyjogi értelemben vett állami támogatásokkal kapcsolatos eljárásról és a regionális támogatási térképről szóló 37/2011. (III. 22.) Korm. rendelet [a továbbiakban: 37/2011. (III. 22.) Korm. rendelet] 2. melléklete alapján.</w:t>
      </w:r>
    </w:p>
  </w:footnote>
  <w:footnote w:id="5">
    <w:p w:rsidR="00A84F2E" w:rsidRPr="00DB7D1C" w:rsidRDefault="00A84F2E" w:rsidP="00A84F2E">
      <w:pPr>
        <w:pStyle w:val="Lbjegyzetszveg"/>
        <w:rPr>
          <w:rFonts w:ascii="Calibri" w:hAnsi="Calibri" w:cs="Calibri"/>
          <w:sz w:val="18"/>
          <w:szCs w:val="18"/>
        </w:rPr>
      </w:pPr>
      <w:r w:rsidRPr="00DB7D1C">
        <w:rPr>
          <w:rStyle w:val="Lbjegyzet-hivatkozs"/>
          <w:rFonts w:ascii="Calibri" w:hAnsi="Calibri" w:cs="Calibri"/>
          <w:sz w:val="18"/>
          <w:szCs w:val="18"/>
        </w:rPr>
        <w:footnoteRef/>
      </w:r>
      <w:r w:rsidRPr="00DB7D1C">
        <w:rPr>
          <w:rFonts w:ascii="Calibri" w:hAnsi="Calibri" w:cs="Calibri"/>
          <w:sz w:val="18"/>
          <w:szCs w:val="18"/>
        </w:rPr>
        <w:t xml:space="preserve"> Itt kizárólag a kedvezményezett tekintetében kell nyilatkozni, az egyesülésre és szétválásra vonatkozó szabályok, valamint és az egy és ugyanazon vállalkozás fogalma által érintett vállalkozások tekintetében nem.</w:t>
      </w:r>
    </w:p>
  </w:footnote>
  <w:footnote w:id="6">
    <w:p w:rsidR="00A84F2E" w:rsidRPr="00DB7D1C" w:rsidRDefault="00A84F2E" w:rsidP="00A84F2E">
      <w:pPr>
        <w:pStyle w:val="Lbjegyzetszveg"/>
        <w:jc w:val="both"/>
        <w:rPr>
          <w:rFonts w:ascii="Calibri" w:hAnsi="Calibri" w:cs="Calibri"/>
          <w:sz w:val="18"/>
          <w:szCs w:val="18"/>
        </w:rPr>
      </w:pPr>
      <w:r w:rsidRPr="00DB7D1C">
        <w:rPr>
          <w:rStyle w:val="Lbjegyzet-hivatkozs"/>
          <w:rFonts w:ascii="Calibri" w:hAnsi="Calibri" w:cs="Calibri"/>
          <w:sz w:val="18"/>
          <w:szCs w:val="18"/>
        </w:rPr>
        <w:footnoteRef/>
      </w:r>
      <w:r w:rsidRPr="00DB7D1C">
        <w:rPr>
          <w:rFonts w:ascii="Calibri" w:hAnsi="Calibri" w:cs="Calibri"/>
          <w:sz w:val="18"/>
          <w:szCs w:val="18"/>
        </w:rPr>
        <w:t xml:space="preserve"> Amennyiben a támogatásról még nem született döntés.</w:t>
      </w:r>
    </w:p>
  </w:footnote>
  <w:footnote w:id="7">
    <w:p w:rsidR="00A84F2E" w:rsidRPr="00DB7D1C" w:rsidRDefault="00A84F2E" w:rsidP="00A84F2E">
      <w:pPr>
        <w:pStyle w:val="Lbjegyzetszveg"/>
        <w:jc w:val="both"/>
        <w:rPr>
          <w:rFonts w:ascii="Calibri" w:hAnsi="Calibri" w:cs="Calibri"/>
          <w:sz w:val="18"/>
          <w:szCs w:val="18"/>
        </w:rPr>
      </w:pPr>
      <w:r w:rsidRPr="00DB7D1C">
        <w:rPr>
          <w:rStyle w:val="Lbjegyzet-hivatkozs"/>
          <w:rFonts w:ascii="Calibri" w:hAnsi="Calibri" w:cs="Calibri"/>
          <w:sz w:val="18"/>
          <w:szCs w:val="18"/>
        </w:rPr>
        <w:footnoteRef/>
      </w:r>
      <w:r w:rsidRPr="00DB7D1C">
        <w:rPr>
          <w:rFonts w:ascii="Calibri" w:hAnsi="Calibri" w:cs="Calibri"/>
          <w:sz w:val="18"/>
          <w:szCs w:val="18"/>
        </w:rPr>
        <w:t xml:space="preserve"> A 37/2011. (III. 22.) Korm. rendelet 2. melléklete alapján.</w:t>
      </w:r>
    </w:p>
  </w:footnote>
  <w:footnote w:id="8">
    <w:p w:rsidR="00A84F2E" w:rsidRPr="00DB7D1C" w:rsidRDefault="00A84F2E" w:rsidP="00A84F2E">
      <w:pPr>
        <w:pStyle w:val="Lbjegyzetszveg"/>
        <w:jc w:val="both"/>
        <w:rPr>
          <w:rFonts w:ascii="Calibri" w:hAnsi="Calibri" w:cs="Calibri"/>
          <w:sz w:val="18"/>
          <w:szCs w:val="18"/>
        </w:rPr>
      </w:pPr>
      <w:r w:rsidRPr="00DB7D1C">
        <w:rPr>
          <w:rStyle w:val="Lbjegyzet-hivatkozs"/>
          <w:rFonts w:ascii="Calibri" w:hAnsi="Calibri" w:cs="Calibri"/>
          <w:sz w:val="18"/>
          <w:szCs w:val="18"/>
        </w:rPr>
        <w:footnoteRef/>
      </w:r>
      <w:r w:rsidRPr="00DB7D1C">
        <w:rPr>
          <w:rFonts w:ascii="Calibri" w:hAnsi="Calibri" w:cs="Calibri"/>
          <w:sz w:val="18"/>
          <w:szCs w:val="18"/>
        </w:rPr>
        <w:t xml:space="preserve"> A 37/2011. (III. 22.) Korm. rendelet 35. §</w:t>
      </w:r>
      <w:proofErr w:type="spellStart"/>
      <w:r w:rsidRPr="00DB7D1C">
        <w:rPr>
          <w:rFonts w:ascii="Calibri" w:hAnsi="Calibri" w:cs="Calibri"/>
          <w:sz w:val="18"/>
          <w:szCs w:val="18"/>
        </w:rPr>
        <w:t>-</w:t>
      </w:r>
      <w:proofErr w:type="gramStart"/>
      <w:r w:rsidRPr="00DB7D1C">
        <w:rPr>
          <w:rFonts w:ascii="Calibri" w:hAnsi="Calibri" w:cs="Calibri"/>
          <w:sz w:val="18"/>
          <w:szCs w:val="18"/>
        </w:rPr>
        <w:t>a</w:t>
      </w:r>
      <w:proofErr w:type="spellEnd"/>
      <w:proofErr w:type="gramEnd"/>
      <w:r w:rsidRPr="00DB7D1C">
        <w:rPr>
          <w:rFonts w:ascii="Calibri" w:hAnsi="Calibri" w:cs="Calibri"/>
          <w:sz w:val="18"/>
          <w:szCs w:val="18"/>
        </w:rPr>
        <w:t xml:space="preserve"> alapján kell kiszámítani:</w:t>
      </w:r>
    </w:p>
    <w:p w:rsidR="00A84F2E" w:rsidRDefault="00A84F2E" w:rsidP="00A84F2E">
      <w:pPr>
        <w:pStyle w:val="Lbjegyzetszveg"/>
        <w:jc w:val="both"/>
      </w:pPr>
      <w:r w:rsidRPr="00DB7D1C">
        <w:rPr>
          <w:rFonts w:ascii="Calibri" w:hAnsi="Calibri" w:cs="Calibri"/>
          <w:i/>
          <w:sz w:val="18"/>
          <w:szCs w:val="18"/>
        </w:rPr>
        <w:t>Ha létező támogatási program másként nem rendelkezik, az uniós állami támogatási szabályokban, euróban meghatározott összegek forintra történő átszámításánál a támogatási döntés napját megelőző hónap utolsó napján érvényes, a Magyar Nemzeti Bank által közzétett, két tizedes jegy pontossággal meghatározott devizaárfolyam alkalmazandó.</w:t>
      </w:r>
      <w:r>
        <w:t xml:space="preserve"> </w:t>
      </w:r>
    </w:p>
  </w:footnote>
  <w:footnote w:id="9">
    <w:p w:rsidR="00A84F2E" w:rsidRDefault="00A84F2E" w:rsidP="00A84F2E">
      <w:pPr>
        <w:pStyle w:val="Lbjegyzetszveg"/>
        <w:jc w:val="both"/>
      </w:pPr>
      <w:r>
        <w:rPr>
          <w:rStyle w:val="Lbjegyzet-hivatkozs"/>
        </w:rPr>
        <w:footnoteRef/>
      </w:r>
      <w:r>
        <w:t xml:space="preserve"> A csekély összegű támogatást akkor kell odaítéltnek tekinteni, amikor az alkalmazandó nemzeti jogrendszer értelmében a támogatás igénybevételének jogát a kedvezményezett vállalkozásra ruházzák, függetlenül a csekély összegű támogatás folyósításának időpontjától. Csekély összegű támogatást tartalmazó szerződésnél például ez az időpont általában a szerződés kelte.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B2F7F" w:rsidRDefault="008B2F7F" w:rsidP="00753805">
    <w:pPr>
      <w:pStyle w:val="lfej"/>
      <w:tabs>
        <w:tab w:val="clear" w:pos="4536"/>
        <w:tab w:val="clear" w:pos="9072"/>
      </w:tabs>
    </w:pPr>
    <w:r>
      <w:rPr>
        <w:noProof/>
        <w:lang w:eastAsia="hu-HU"/>
      </w:rPr>
      <mc:AlternateContent>
        <mc:Choice Requires="wps">
          <w:drawing>
            <wp:anchor distT="0" distB="0" distL="114300" distR="114300" simplePos="0" relativeHeight="251659264" behindDoc="0" locked="0" layoutInCell="1" allowOverlap="1">
              <wp:simplePos x="0" y="0"/>
              <wp:positionH relativeFrom="page">
                <wp:posOffset>1800225</wp:posOffset>
              </wp:positionH>
              <wp:positionV relativeFrom="page">
                <wp:posOffset>683895</wp:posOffset>
              </wp:positionV>
              <wp:extent cx="5219700" cy="1305560"/>
              <wp:effectExtent l="0" t="0" r="0" b="1270"/>
              <wp:wrapNone/>
              <wp:docPr id="4" name="Szövegdoboz 4"/>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219700" cy="13055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B2F7F" w:rsidRPr="000D31CB" w:rsidRDefault="008B2F7F" w:rsidP="00753805">
                          <w:pPr>
                            <w:pStyle w:val="BasicParagraph"/>
                            <w:spacing w:after="113" w:line="240" w:lineRule="auto"/>
                            <w:rPr>
                              <w:rFonts w:ascii="Arial" w:hAnsi="Arial" w:cs="Arial"/>
                              <w:b/>
                              <w:bCs/>
                              <w:color w:val="auto"/>
                              <w:spacing w:val="42"/>
                              <w:sz w:val="28"/>
                              <w:szCs w:val="28"/>
                            </w:rPr>
                          </w:pPr>
                          <w:r w:rsidRPr="000D31CB">
                            <w:rPr>
                              <w:rFonts w:ascii="Arial" w:hAnsi="Arial" w:cs="Arial"/>
                              <w:b/>
                              <w:bCs/>
                              <w:color w:val="auto"/>
                              <w:spacing w:val="42"/>
                              <w:sz w:val="28"/>
                              <w:szCs w:val="28"/>
                            </w:rPr>
                            <w:t>HÉVÍZ VÁROS POLGÁRMESTERE</w:t>
                          </w:r>
                        </w:p>
                        <w:p w:rsidR="008B2F7F" w:rsidRPr="000D31CB" w:rsidRDefault="008B2F7F" w:rsidP="00753805">
                          <w:pPr>
                            <w:pStyle w:val="BasicParagraph"/>
                            <w:spacing w:line="240" w:lineRule="auto"/>
                            <w:rPr>
                              <w:rFonts w:ascii="Arial" w:hAnsi="Arial" w:cs="Arial"/>
                              <w:color w:val="auto"/>
                              <w:spacing w:val="7"/>
                              <w:sz w:val="22"/>
                              <w:szCs w:val="22"/>
                            </w:rPr>
                          </w:pPr>
                          <w:r w:rsidRPr="000D31CB">
                            <w:rPr>
                              <w:rFonts w:ascii="Arial" w:hAnsi="Arial" w:cs="Arial"/>
                              <w:color w:val="auto"/>
                              <w:spacing w:val="7"/>
                              <w:sz w:val="22"/>
                              <w:szCs w:val="22"/>
                            </w:rPr>
                            <w:t>8380 Hévíz, Kossuth Lajos u. 1.</w:t>
                          </w:r>
                        </w:p>
                        <w:p w:rsidR="008B2F7F" w:rsidRPr="000D31CB" w:rsidRDefault="008B2F7F" w:rsidP="00753805">
                          <w:pPr>
                            <w:pStyle w:val="BasicParagraph"/>
                            <w:spacing w:line="240" w:lineRule="auto"/>
                            <w:rPr>
                              <w:rFonts w:ascii="Arial" w:hAnsi="Arial" w:cs="Arial"/>
                              <w:color w:val="auto"/>
                              <w:spacing w:val="7"/>
                              <w:sz w:val="20"/>
                              <w:szCs w:val="20"/>
                            </w:rPr>
                          </w:pPr>
                        </w:p>
                        <w:tbl>
                          <w:tblPr>
                            <w:tblW w:w="8220" w:type="dxa"/>
                            <w:tblLayout w:type="fixed"/>
                            <w:tblCellMar>
                              <w:left w:w="0" w:type="dxa"/>
                              <w:right w:w="0" w:type="dxa"/>
                            </w:tblCellMar>
                            <w:tblLook w:val="04A0" w:firstRow="1" w:lastRow="0" w:firstColumn="1" w:lastColumn="0" w:noHBand="0" w:noVBand="1"/>
                          </w:tblPr>
                          <w:tblGrid>
                            <w:gridCol w:w="3685"/>
                            <w:gridCol w:w="4535"/>
                          </w:tblGrid>
                          <w:tr w:rsidR="008B2F7F" w:rsidRPr="000D31CB" w:rsidTr="00301B74">
                            <w:trPr>
                              <w:trHeight w:val="1531"/>
                            </w:trPr>
                            <w:tc>
                              <w:tcPr>
                                <w:tcW w:w="3685" w:type="dxa"/>
                              </w:tcPr>
                              <w:p w:rsidR="008B2F7F" w:rsidRPr="000D31CB" w:rsidRDefault="008B2F7F" w:rsidP="00A101F2">
                                <w:pPr>
                                  <w:spacing w:before="57"/>
                                  <w:ind w:right="227"/>
                                  <w:rPr>
                                    <w:color w:val="808080"/>
                                    <w:spacing w:val="6"/>
                                    <w:sz w:val="20"/>
                                    <w:szCs w:val="20"/>
                                  </w:rPr>
                                </w:pPr>
                                <w:r w:rsidRPr="000D31CB">
                                  <w:rPr>
                                    <w:color w:val="808080"/>
                                    <w:spacing w:val="6"/>
                                    <w:sz w:val="20"/>
                                    <w:szCs w:val="20"/>
                                  </w:rPr>
                                  <w:t xml:space="preserve">Iktatószám: </w:t>
                                </w:r>
                                <w:r w:rsidR="004B0011">
                                  <w:rPr>
                                    <w:color w:val="808080"/>
                                    <w:spacing w:val="6"/>
                                    <w:sz w:val="20"/>
                                    <w:szCs w:val="20"/>
                                  </w:rPr>
                                  <w:t>ADO/2659-4/2016.</w:t>
                                </w:r>
                              </w:p>
                              <w:p w:rsidR="008B2F7F" w:rsidRPr="000D31CB" w:rsidRDefault="008B2F7F" w:rsidP="00A101F2">
                                <w:pPr>
                                  <w:spacing w:before="57"/>
                                  <w:ind w:right="227"/>
                                  <w:rPr>
                                    <w:color w:val="808080"/>
                                    <w:spacing w:val="6"/>
                                    <w:sz w:val="20"/>
                                    <w:szCs w:val="20"/>
                                  </w:rPr>
                                </w:pPr>
                              </w:p>
                              <w:p w:rsidR="008B2F7F" w:rsidRPr="000D31CB" w:rsidRDefault="008B2F7F" w:rsidP="00A101F2">
                                <w:pPr>
                                  <w:spacing w:before="57"/>
                                  <w:ind w:right="227"/>
                                  <w:rPr>
                                    <w:color w:val="808080"/>
                                    <w:spacing w:val="6"/>
                                    <w:sz w:val="20"/>
                                    <w:szCs w:val="20"/>
                                  </w:rPr>
                                </w:pPr>
                                <w:r w:rsidRPr="000D31CB">
                                  <w:rPr>
                                    <w:color w:val="808080"/>
                                    <w:spacing w:val="6"/>
                                    <w:sz w:val="20"/>
                                    <w:szCs w:val="20"/>
                                  </w:rPr>
                                  <w:t>Napirend sorszáma:</w:t>
                                </w:r>
                                <w:r>
                                  <w:rPr>
                                    <w:color w:val="808080"/>
                                    <w:spacing w:val="6"/>
                                    <w:sz w:val="20"/>
                                    <w:szCs w:val="20"/>
                                  </w:rPr>
                                  <w:t xml:space="preserve"> </w:t>
                                </w:r>
                              </w:p>
                            </w:tc>
                            <w:tc>
                              <w:tcPr>
                                <w:tcW w:w="4535" w:type="dxa"/>
                              </w:tcPr>
                              <w:p w:rsidR="008B2F7F" w:rsidRPr="000D31CB" w:rsidRDefault="008B2F7F" w:rsidP="00A101F2">
                                <w:pPr>
                                  <w:spacing w:before="57"/>
                                  <w:rPr>
                                    <w:color w:val="808080"/>
                                    <w:spacing w:val="2"/>
                                    <w:sz w:val="20"/>
                                    <w:szCs w:val="20"/>
                                  </w:rPr>
                                </w:pPr>
                              </w:p>
                            </w:tc>
                          </w:tr>
                        </w:tbl>
                        <w:p w:rsidR="008B2F7F" w:rsidRPr="000D31CB" w:rsidRDefault="008B2F7F" w:rsidP="00753805">
                          <w:pPr>
                            <w:pStyle w:val="BasicParagraph"/>
                            <w:spacing w:line="240" w:lineRule="auto"/>
                            <w:rPr>
                              <w:rFonts w:ascii="Arial" w:hAnsi="Arial" w:cs="Arial"/>
                              <w:color w:val="auto"/>
                              <w:spacing w:val="7"/>
                            </w:rPr>
                          </w:pPr>
                        </w:p>
                        <w:p w:rsidR="008B2F7F" w:rsidRPr="000D31CB" w:rsidRDefault="008B2F7F" w:rsidP="00753805">
                          <w:pPr>
                            <w:pStyle w:val="BasicParagraph"/>
                            <w:spacing w:line="240" w:lineRule="auto"/>
                            <w:rPr>
                              <w:rFonts w:ascii="Arial" w:hAnsi="Arial" w:cs="Arial"/>
                              <w:color w:val="auto"/>
                              <w:spacing w:val="7"/>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Szövegdoboz 4" o:spid="_x0000_s1026" type="#_x0000_t202" style="position:absolute;margin-left:141.75pt;margin-top:53.85pt;width:411pt;height:102.8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cSuXiwIAABcFAAAOAAAAZHJzL2Uyb0RvYy54bWysVNuO0zAQfUfiHyy/d5OUtNtEm672QhHS&#10;cpEWPsCJncQi8RjbbbqL+C1+gB9j7DTdZQEJIfLgjO3x8ZmZMz473/cd2QljJaiCJicxJUJVwKVq&#10;Cvrxw2a2osQ6pjjrQImC3glLz9fPn50NOhdzaKHjwhAEUTYfdEFb53QeRbZqRc/sCWihcLMG0zOH&#10;U9NE3LAB0fsumsfxMhrAcG2gEtbi6vW4SdcBv65F5d7VtRWOdAVFbi6MJoylH6P1Gcsbw3QrqwMN&#10;9g8seiYVXnqEumaOka2Rv0D1sjJgoXYnFfQR1LWsRIgBo0niJ9HctkyLEAsmx+pjmuz/g63e7t4b&#10;InlBU0oU67FEt/ffv+1Ew6GEe5L6DA3a5uh4q9HV7S9hj5UO0Vp9A9UnSxRctUw14sJqzLjffVgy&#10;BoZWMI6kEw8WPUIboa3HLYc3wPF2tnUQsPe16X1GMUcEL8Ti3R0LJvaOVLi4mCfZaYxbFe4lL+LF&#10;YhlKGrF8Oq6Nda8E9MQbBTXIL8Cz3Y11ng7LJxd/m4VO8o3sujAxTXnVGbJjqJ5N+EIET9w65Z0V&#10;+GMj4riCLPEOv+f5BjV8yZJ5Gl/Os9lmuTqdpZt0McMIVrM4yS6zZZxm6fXmqyeYpHkrORfqRiox&#10;KTNJ/67yhx4ZNRW0SYaCZov5YizbH4OMw/e7IHvpsFE72Rd0dXRiua/sS8UxbJY7JrvRjn6mH7KM&#10;OZj+IStBB770owjcvtwjihdHCfwOFWEA64W1xdcFjRbMPSUDdmpB7ectM4KS7rVCVfm2ngwzGeVk&#10;MFXh0YI6Skbzyo3tv9VGNi0ij1JWcIHKq2XQxAOLg16x+wL5w0vh2/vxPHg9vGfrHwAAAP//AwBQ&#10;SwMEFAAGAAgAAAAhAMU6477hAAAADAEAAA8AAABkcnMvZG93bnJldi54bWxMj8tOwzAQRfdI/IM1&#10;SGwQtZOoD4U4FbSwg0VL1bUbD0lEPI5sp0n/HndFlzP36M6ZYj2Zjp3R+daShGQmgCFVVrdUSzh8&#10;fzyvgPmgSKvOEkq4oId1eX9XqFzbkXZ43oeaxRLyuZLQhNDnnPuqQaP8zPZIMfuxzqgQR1dz7dQY&#10;y03HUyEW3KiW4oVG9bhpsPrdD0bCYuuGcUebp+3h/VN99XV6fLscpXx8mF5fgAWcwj8MV/2oDmV0&#10;OtmBtGedhHSVzSMaA7FcArsSiZjH1UlClmQZ8LLgt0+UfwAAAP//AwBQSwECLQAUAAYACAAAACEA&#10;toM4kv4AAADhAQAAEwAAAAAAAAAAAAAAAAAAAAAAW0NvbnRlbnRfVHlwZXNdLnhtbFBLAQItABQA&#10;BgAIAAAAIQA4/SH/1gAAAJQBAAALAAAAAAAAAAAAAAAAAC8BAABfcmVscy8ucmVsc1BLAQItABQA&#10;BgAIAAAAIQDRcSuXiwIAABcFAAAOAAAAAAAAAAAAAAAAAC4CAABkcnMvZTJvRG9jLnhtbFBLAQIt&#10;ABQABgAIAAAAIQDFOuO+4QAAAAwBAAAPAAAAAAAAAAAAAAAAAOUEAABkcnMvZG93bnJldi54bWxQ&#10;SwUGAAAAAAQABADzAAAA8wUAAAAA&#10;" stroked="f">
              <o:lock v:ext="edit" aspectratio="t"/>
              <v:textbox inset="0,0,0,0">
                <w:txbxContent>
                  <w:p w:rsidR="008B2F7F" w:rsidRPr="000D31CB" w:rsidRDefault="008B2F7F" w:rsidP="00753805">
                    <w:pPr>
                      <w:pStyle w:val="BasicParagraph"/>
                      <w:spacing w:after="113" w:line="240" w:lineRule="auto"/>
                      <w:rPr>
                        <w:rFonts w:ascii="Arial" w:hAnsi="Arial" w:cs="Arial"/>
                        <w:b/>
                        <w:bCs/>
                        <w:color w:val="auto"/>
                        <w:spacing w:val="42"/>
                        <w:sz w:val="28"/>
                        <w:szCs w:val="28"/>
                      </w:rPr>
                    </w:pPr>
                    <w:r w:rsidRPr="000D31CB">
                      <w:rPr>
                        <w:rFonts w:ascii="Arial" w:hAnsi="Arial" w:cs="Arial"/>
                        <w:b/>
                        <w:bCs/>
                        <w:color w:val="auto"/>
                        <w:spacing w:val="42"/>
                        <w:sz w:val="28"/>
                        <w:szCs w:val="28"/>
                      </w:rPr>
                      <w:t>HÉVÍZ VÁROS POLGÁRMESTERE</w:t>
                    </w:r>
                  </w:p>
                  <w:p w:rsidR="008B2F7F" w:rsidRPr="000D31CB" w:rsidRDefault="008B2F7F" w:rsidP="00753805">
                    <w:pPr>
                      <w:pStyle w:val="BasicParagraph"/>
                      <w:spacing w:line="240" w:lineRule="auto"/>
                      <w:rPr>
                        <w:rFonts w:ascii="Arial" w:hAnsi="Arial" w:cs="Arial"/>
                        <w:color w:val="auto"/>
                        <w:spacing w:val="7"/>
                        <w:sz w:val="22"/>
                        <w:szCs w:val="22"/>
                      </w:rPr>
                    </w:pPr>
                    <w:r w:rsidRPr="000D31CB">
                      <w:rPr>
                        <w:rFonts w:ascii="Arial" w:hAnsi="Arial" w:cs="Arial"/>
                        <w:color w:val="auto"/>
                        <w:spacing w:val="7"/>
                        <w:sz w:val="22"/>
                        <w:szCs w:val="22"/>
                      </w:rPr>
                      <w:t>8380 Hévíz, Kossuth Lajos u. 1.</w:t>
                    </w:r>
                  </w:p>
                  <w:p w:rsidR="008B2F7F" w:rsidRPr="000D31CB" w:rsidRDefault="008B2F7F" w:rsidP="00753805">
                    <w:pPr>
                      <w:pStyle w:val="BasicParagraph"/>
                      <w:spacing w:line="240" w:lineRule="auto"/>
                      <w:rPr>
                        <w:rFonts w:ascii="Arial" w:hAnsi="Arial" w:cs="Arial"/>
                        <w:color w:val="auto"/>
                        <w:spacing w:val="7"/>
                        <w:sz w:val="20"/>
                        <w:szCs w:val="20"/>
                      </w:rPr>
                    </w:pPr>
                  </w:p>
                  <w:tbl>
                    <w:tblPr>
                      <w:tblW w:w="8220" w:type="dxa"/>
                      <w:tblLayout w:type="fixed"/>
                      <w:tblCellMar>
                        <w:left w:w="0" w:type="dxa"/>
                        <w:right w:w="0" w:type="dxa"/>
                      </w:tblCellMar>
                      <w:tblLook w:val="04A0" w:firstRow="1" w:lastRow="0" w:firstColumn="1" w:lastColumn="0" w:noHBand="0" w:noVBand="1"/>
                    </w:tblPr>
                    <w:tblGrid>
                      <w:gridCol w:w="3685"/>
                      <w:gridCol w:w="4535"/>
                    </w:tblGrid>
                    <w:tr w:rsidR="008B2F7F" w:rsidRPr="000D31CB" w:rsidTr="00301B74">
                      <w:trPr>
                        <w:trHeight w:val="1531"/>
                      </w:trPr>
                      <w:tc>
                        <w:tcPr>
                          <w:tcW w:w="3685" w:type="dxa"/>
                        </w:tcPr>
                        <w:p w:rsidR="008B2F7F" w:rsidRPr="000D31CB" w:rsidRDefault="008B2F7F" w:rsidP="00A101F2">
                          <w:pPr>
                            <w:spacing w:before="57"/>
                            <w:ind w:right="227"/>
                            <w:rPr>
                              <w:color w:val="808080"/>
                              <w:spacing w:val="6"/>
                              <w:sz w:val="20"/>
                              <w:szCs w:val="20"/>
                            </w:rPr>
                          </w:pPr>
                          <w:r w:rsidRPr="000D31CB">
                            <w:rPr>
                              <w:color w:val="808080"/>
                              <w:spacing w:val="6"/>
                              <w:sz w:val="20"/>
                              <w:szCs w:val="20"/>
                            </w:rPr>
                            <w:t xml:space="preserve">Iktatószám: </w:t>
                          </w:r>
                          <w:r w:rsidR="004B0011">
                            <w:rPr>
                              <w:color w:val="808080"/>
                              <w:spacing w:val="6"/>
                              <w:sz w:val="20"/>
                              <w:szCs w:val="20"/>
                            </w:rPr>
                            <w:t>ADO/2659-4/2016.</w:t>
                          </w:r>
                        </w:p>
                        <w:p w:rsidR="008B2F7F" w:rsidRPr="000D31CB" w:rsidRDefault="008B2F7F" w:rsidP="00A101F2">
                          <w:pPr>
                            <w:spacing w:before="57"/>
                            <w:ind w:right="227"/>
                            <w:rPr>
                              <w:color w:val="808080"/>
                              <w:spacing w:val="6"/>
                              <w:sz w:val="20"/>
                              <w:szCs w:val="20"/>
                            </w:rPr>
                          </w:pPr>
                        </w:p>
                        <w:p w:rsidR="008B2F7F" w:rsidRPr="000D31CB" w:rsidRDefault="008B2F7F" w:rsidP="00A101F2">
                          <w:pPr>
                            <w:spacing w:before="57"/>
                            <w:ind w:right="227"/>
                            <w:rPr>
                              <w:color w:val="808080"/>
                              <w:spacing w:val="6"/>
                              <w:sz w:val="20"/>
                              <w:szCs w:val="20"/>
                            </w:rPr>
                          </w:pPr>
                          <w:r w:rsidRPr="000D31CB">
                            <w:rPr>
                              <w:color w:val="808080"/>
                              <w:spacing w:val="6"/>
                              <w:sz w:val="20"/>
                              <w:szCs w:val="20"/>
                            </w:rPr>
                            <w:t>Napirend sorszáma:</w:t>
                          </w:r>
                          <w:r>
                            <w:rPr>
                              <w:color w:val="808080"/>
                              <w:spacing w:val="6"/>
                              <w:sz w:val="20"/>
                              <w:szCs w:val="20"/>
                            </w:rPr>
                            <w:t xml:space="preserve"> </w:t>
                          </w:r>
                        </w:p>
                      </w:tc>
                      <w:tc>
                        <w:tcPr>
                          <w:tcW w:w="4535" w:type="dxa"/>
                        </w:tcPr>
                        <w:p w:rsidR="008B2F7F" w:rsidRPr="000D31CB" w:rsidRDefault="008B2F7F" w:rsidP="00A101F2">
                          <w:pPr>
                            <w:spacing w:before="57"/>
                            <w:rPr>
                              <w:color w:val="808080"/>
                              <w:spacing w:val="2"/>
                              <w:sz w:val="20"/>
                              <w:szCs w:val="20"/>
                            </w:rPr>
                          </w:pPr>
                        </w:p>
                      </w:tc>
                    </w:tr>
                  </w:tbl>
                  <w:p w:rsidR="008B2F7F" w:rsidRPr="000D31CB" w:rsidRDefault="008B2F7F" w:rsidP="00753805">
                    <w:pPr>
                      <w:pStyle w:val="BasicParagraph"/>
                      <w:spacing w:line="240" w:lineRule="auto"/>
                      <w:rPr>
                        <w:rFonts w:ascii="Arial" w:hAnsi="Arial" w:cs="Arial"/>
                        <w:color w:val="auto"/>
                        <w:spacing w:val="7"/>
                      </w:rPr>
                    </w:pPr>
                  </w:p>
                  <w:p w:rsidR="008B2F7F" w:rsidRPr="000D31CB" w:rsidRDefault="008B2F7F" w:rsidP="00753805">
                    <w:pPr>
                      <w:pStyle w:val="BasicParagraph"/>
                      <w:spacing w:line="240" w:lineRule="auto"/>
                      <w:rPr>
                        <w:rFonts w:ascii="Arial" w:hAnsi="Arial" w:cs="Arial"/>
                        <w:color w:val="auto"/>
                        <w:spacing w:val="7"/>
                      </w:rPr>
                    </w:pPr>
                  </w:p>
                </w:txbxContent>
              </v:textbox>
              <w10:wrap anchorx="page" anchory="page"/>
            </v:shape>
          </w:pict>
        </mc:Fallback>
      </mc:AlternateContent>
    </w:r>
    <w:r>
      <w:rPr>
        <w:noProof/>
        <w:lang w:eastAsia="hu-HU"/>
      </w:rPr>
      <w:drawing>
        <wp:anchor distT="0" distB="0" distL="114300" distR="114300" simplePos="0" relativeHeight="251661312" behindDoc="0" locked="0" layoutInCell="1" allowOverlap="1">
          <wp:simplePos x="0" y="0"/>
          <wp:positionH relativeFrom="page">
            <wp:posOffset>540385</wp:posOffset>
          </wp:positionH>
          <wp:positionV relativeFrom="page">
            <wp:posOffset>360045</wp:posOffset>
          </wp:positionV>
          <wp:extent cx="1047750" cy="1257300"/>
          <wp:effectExtent l="0" t="0" r="0" b="0"/>
          <wp:wrapNone/>
          <wp:docPr id="3" name="Kép 3" descr="cim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ime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47750" cy="12573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B2F7F" w:rsidRDefault="008B2F7F" w:rsidP="00753805">
    <w:pPr>
      <w:pStyle w:val="lfej"/>
      <w:tabs>
        <w:tab w:val="clear" w:pos="4536"/>
        <w:tab w:val="clear" w:pos="9072"/>
      </w:tabs>
    </w:pPr>
    <w:r>
      <w:rPr>
        <w:noProof/>
        <w:lang w:eastAsia="hu-HU"/>
      </w:rPr>
      <w:drawing>
        <wp:anchor distT="0" distB="0" distL="114300" distR="114300" simplePos="0" relativeHeight="251660288" behindDoc="0" locked="0" layoutInCell="1" allowOverlap="1">
          <wp:simplePos x="0" y="0"/>
          <wp:positionH relativeFrom="page">
            <wp:posOffset>1800225</wp:posOffset>
          </wp:positionH>
          <wp:positionV relativeFrom="page">
            <wp:posOffset>914400</wp:posOffset>
          </wp:positionV>
          <wp:extent cx="5219700" cy="14605"/>
          <wp:effectExtent l="0" t="0" r="0" b="0"/>
          <wp:wrapNone/>
          <wp:docPr id="2" name="Kép 2" descr="vonal"/>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vonal"/>
                  <pic:cNvPicPr preferRelativeResize="0">
                    <a:picLocks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19700" cy="14605"/>
                  </a:xfrm>
                  <a:prstGeom prst="rect">
                    <a:avLst/>
                  </a:prstGeom>
                  <a:noFill/>
                  <a:ln>
                    <a:noFill/>
                  </a:ln>
                </pic:spPr>
              </pic:pic>
            </a:graphicData>
          </a:graphic>
          <wp14:sizeRelH relativeFrom="leftMargin">
            <wp14:pctWidth>0</wp14:pctWidth>
          </wp14:sizeRelH>
          <wp14:sizeRelV relativeFrom="topMargin">
            <wp14:pctHeight>0</wp14:pctHeight>
          </wp14:sizeRelV>
        </wp:anchor>
      </w:drawing>
    </w:r>
  </w:p>
  <w:p w:rsidR="008B2F7F" w:rsidRDefault="008B2F7F">
    <w:pPr>
      <w:pStyle w:val="lfej"/>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9B544E"/>
    <w:multiLevelType w:val="hybridMultilevel"/>
    <w:tmpl w:val="70641F14"/>
    <w:lvl w:ilvl="0" w:tplc="B95EF99C">
      <w:start w:val="1"/>
      <w:numFmt w:val="bullet"/>
      <w:lvlText w:val="-"/>
      <w:lvlJc w:val="left"/>
      <w:pPr>
        <w:ind w:left="720" w:hanging="360"/>
      </w:pPr>
      <w:rPr>
        <w:rFonts w:ascii="Arial" w:eastAsiaTheme="minorHAnsi" w:hAnsi="Arial" w:cs="Aria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15:restartNumberingAfterBreak="0">
    <w:nsid w:val="1C872AE4"/>
    <w:multiLevelType w:val="hybridMultilevel"/>
    <w:tmpl w:val="6526FBF2"/>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15:restartNumberingAfterBreak="0">
    <w:nsid w:val="386C3BE2"/>
    <w:multiLevelType w:val="hybridMultilevel"/>
    <w:tmpl w:val="83304986"/>
    <w:lvl w:ilvl="0" w:tplc="040E000F">
      <w:start w:val="1"/>
      <w:numFmt w:val="decimal"/>
      <w:lvlText w:val="%1."/>
      <w:lvlJc w:val="left"/>
      <w:pPr>
        <w:ind w:left="4472" w:hanging="360"/>
      </w:pPr>
      <w:rPr>
        <w:rFonts w:hint="default"/>
      </w:rPr>
    </w:lvl>
    <w:lvl w:ilvl="1" w:tplc="040E0019" w:tentative="1">
      <w:start w:val="1"/>
      <w:numFmt w:val="lowerLetter"/>
      <w:lvlText w:val="%2."/>
      <w:lvlJc w:val="left"/>
      <w:pPr>
        <w:ind w:left="5192" w:hanging="360"/>
      </w:pPr>
    </w:lvl>
    <w:lvl w:ilvl="2" w:tplc="040E001B" w:tentative="1">
      <w:start w:val="1"/>
      <w:numFmt w:val="lowerRoman"/>
      <w:lvlText w:val="%3."/>
      <w:lvlJc w:val="right"/>
      <w:pPr>
        <w:ind w:left="5912" w:hanging="180"/>
      </w:pPr>
    </w:lvl>
    <w:lvl w:ilvl="3" w:tplc="040E000F" w:tentative="1">
      <w:start w:val="1"/>
      <w:numFmt w:val="decimal"/>
      <w:lvlText w:val="%4."/>
      <w:lvlJc w:val="left"/>
      <w:pPr>
        <w:ind w:left="6632" w:hanging="360"/>
      </w:pPr>
    </w:lvl>
    <w:lvl w:ilvl="4" w:tplc="040E0019" w:tentative="1">
      <w:start w:val="1"/>
      <w:numFmt w:val="lowerLetter"/>
      <w:lvlText w:val="%5."/>
      <w:lvlJc w:val="left"/>
      <w:pPr>
        <w:ind w:left="7352" w:hanging="360"/>
      </w:pPr>
    </w:lvl>
    <w:lvl w:ilvl="5" w:tplc="040E001B" w:tentative="1">
      <w:start w:val="1"/>
      <w:numFmt w:val="lowerRoman"/>
      <w:lvlText w:val="%6."/>
      <w:lvlJc w:val="right"/>
      <w:pPr>
        <w:ind w:left="8072" w:hanging="180"/>
      </w:pPr>
    </w:lvl>
    <w:lvl w:ilvl="6" w:tplc="040E000F" w:tentative="1">
      <w:start w:val="1"/>
      <w:numFmt w:val="decimal"/>
      <w:lvlText w:val="%7."/>
      <w:lvlJc w:val="left"/>
      <w:pPr>
        <w:ind w:left="8792" w:hanging="360"/>
      </w:pPr>
    </w:lvl>
    <w:lvl w:ilvl="7" w:tplc="040E0019" w:tentative="1">
      <w:start w:val="1"/>
      <w:numFmt w:val="lowerLetter"/>
      <w:lvlText w:val="%8."/>
      <w:lvlJc w:val="left"/>
      <w:pPr>
        <w:ind w:left="9512" w:hanging="360"/>
      </w:pPr>
    </w:lvl>
    <w:lvl w:ilvl="8" w:tplc="040E001B" w:tentative="1">
      <w:start w:val="1"/>
      <w:numFmt w:val="lowerRoman"/>
      <w:lvlText w:val="%9."/>
      <w:lvlJc w:val="right"/>
      <w:pPr>
        <w:ind w:left="10232" w:hanging="180"/>
      </w:pPr>
    </w:lvl>
  </w:abstractNum>
  <w:abstractNum w:abstractNumId="3" w15:restartNumberingAfterBreak="0">
    <w:nsid w:val="683D366F"/>
    <w:multiLevelType w:val="hybridMultilevel"/>
    <w:tmpl w:val="5CF240F8"/>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 w15:restartNumberingAfterBreak="0">
    <w:nsid w:val="770C4E35"/>
    <w:multiLevelType w:val="hybridMultilevel"/>
    <w:tmpl w:val="3BEEA834"/>
    <w:lvl w:ilvl="0" w:tplc="040E000F">
      <w:start w:val="1"/>
      <w:numFmt w:val="decimal"/>
      <w:lvlText w:val="%1."/>
      <w:lvlJc w:val="left"/>
      <w:pPr>
        <w:ind w:left="107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15:restartNumberingAfterBreak="0">
    <w:nsid w:val="7DA2025F"/>
    <w:multiLevelType w:val="hybridMultilevel"/>
    <w:tmpl w:val="A65A6054"/>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2"/>
  </w:num>
  <w:num w:numId="2">
    <w:abstractNumId w:val="1"/>
  </w:num>
  <w:num w:numId="3">
    <w:abstractNumId w:val="0"/>
  </w:num>
  <w:num w:numId="4">
    <w:abstractNumId w:val="4"/>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7EF2"/>
    <w:rsid w:val="00034133"/>
    <w:rsid w:val="000453EE"/>
    <w:rsid w:val="001166AA"/>
    <w:rsid w:val="00192D4A"/>
    <w:rsid w:val="001B6150"/>
    <w:rsid w:val="002A550F"/>
    <w:rsid w:val="002D4BB6"/>
    <w:rsid w:val="002E0403"/>
    <w:rsid w:val="002F6B30"/>
    <w:rsid w:val="00327EF2"/>
    <w:rsid w:val="00337102"/>
    <w:rsid w:val="00382886"/>
    <w:rsid w:val="003B65C6"/>
    <w:rsid w:val="003D6E63"/>
    <w:rsid w:val="00412AB3"/>
    <w:rsid w:val="004204F1"/>
    <w:rsid w:val="004641B4"/>
    <w:rsid w:val="00482AF6"/>
    <w:rsid w:val="00484B98"/>
    <w:rsid w:val="004B0011"/>
    <w:rsid w:val="005049DA"/>
    <w:rsid w:val="00560AA4"/>
    <w:rsid w:val="00585F38"/>
    <w:rsid w:val="00614DB1"/>
    <w:rsid w:val="00616709"/>
    <w:rsid w:val="00660C4F"/>
    <w:rsid w:val="0066133F"/>
    <w:rsid w:val="006C248F"/>
    <w:rsid w:val="006D6C26"/>
    <w:rsid w:val="006F08A1"/>
    <w:rsid w:val="007418B2"/>
    <w:rsid w:val="00757945"/>
    <w:rsid w:val="00782D88"/>
    <w:rsid w:val="00796816"/>
    <w:rsid w:val="007F1897"/>
    <w:rsid w:val="00805D23"/>
    <w:rsid w:val="00866FF2"/>
    <w:rsid w:val="00876418"/>
    <w:rsid w:val="008B2F7F"/>
    <w:rsid w:val="008E7810"/>
    <w:rsid w:val="009460C3"/>
    <w:rsid w:val="00953A76"/>
    <w:rsid w:val="00970E69"/>
    <w:rsid w:val="009E35B5"/>
    <w:rsid w:val="009F094F"/>
    <w:rsid w:val="00A44F94"/>
    <w:rsid w:val="00A65ED0"/>
    <w:rsid w:val="00A73B93"/>
    <w:rsid w:val="00A84F2E"/>
    <w:rsid w:val="00AA4379"/>
    <w:rsid w:val="00AC54E8"/>
    <w:rsid w:val="00B007CC"/>
    <w:rsid w:val="00C96BE4"/>
    <w:rsid w:val="00CF4F69"/>
    <w:rsid w:val="00D04D4B"/>
    <w:rsid w:val="00D519DE"/>
    <w:rsid w:val="00DB3963"/>
    <w:rsid w:val="00DD777B"/>
    <w:rsid w:val="00E243CD"/>
    <w:rsid w:val="00EC6F1F"/>
    <w:rsid w:val="00ED500E"/>
    <w:rsid w:val="00F64A28"/>
    <w:rsid w:val="00F92E2B"/>
    <w:rsid w:val="00FA2965"/>
    <w:rsid w:val="00FC0924"/>
    <w:rsid w:val="00FF1EE3"/>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A7F1D22A-5AD0-4376-8902-CB3D06D6BF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heme="minorHAnsi" w:hAnsi="Arial" w:cs="Arial"/>
        <w:sz w:val="22"/>
        <w:szCs w:val="22"/>
        <w:lang w:val="hu-H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basedOn w:val="Norml"/>
    <w:uiPriority w:val="34"/>
    <w:qFormat/>
    <w:rsid w:val="00CF4F69"/>
    <w:pPr>
      <w:ind w:left="720"/>
      <w:contextualSpacing/>
    </w:pPr>
  </w:style>
  <w:style w:type="paragraph" w:styleId="Lbjegyzetszveg">
    <w:name w:val="footnote text"/>
    <w:aliases w:val="Footnote,Char1"/>
    <w:basedOn w:val="Norml"/>
    <w:link w:val="LbjegyzetszvegChar"/>
    <w:semiHidden/>
    <w:rsid w:val="00A84F2E"/>
    <w:rPr>
      <w:rFonts w:ascii="Times New Roman" w:eastAsia="Times New Roman" w:hAnsi="Times New Roman" w:cs="Times New Roman"/>
      <w:sz w:val="20"/>
      <w:szCs w:val="20"/>
      <w:lang w:eastAsia="hu-HU"/>
    </w:rPr>
  </w:style>
  <w:style w:type="character" w:customStyle="1" w:styleId="LbjegyzetszvegChar">
    <w:name w:val="Lábjegyzetszöveg Char"/>
    <w:aliases w:val="Footnote Char,Char1 Char"/>
    <w:basedOn w:val="Bekezdsalapbettpusa"/>
    <w:link w:val="Lbjegyzetszveg"/>
    <w:semiHidden/>
    <w:rsid w:val="00A84F2E"/>
    <w:rPr>
      <w:rFonts w:ascii="Times New Roman" w:eastAsia="Times New Roman" w:hAnsi="Times New Roman" w:cs="Times New Roman"/>
      <w:sz w:val="20"/>
      <w:szCs w:val="20"/>
      <w:lang w:eastAsia="hu-HU"/>
    </w:rPr>
  </w:style>
  <w:style w:type="character" w:styleId="Lbjegyzet-hivatkozs">
    <w:name w:val="footnote reference"/>
    <w:aliases w:val="Footnote symbol"/>
    <w:uiPriority w:val="99"/>
    <w:semiHidden/>
    <w:rsid w:val="00A84F2E"/>
    <w:rPr>
      <w:vertAlign w:val="superscript"/>
    </w:rPr>
  </w:style>
  <w:style w:type="paragraph" w:customStyle="1" w:styleId="lielparametri">
    <w:name w:val="liel_parametri"/>
    <w:basedOn w:val="Norml"/>
    <w:rsid w:val="00A84F2E"/>
    <w:pPr>
      <w:spacing w:before="80" w:after="80"/>
      <w:ind w:left="340"/>
    </w:pPr>
    <w:rPr>
      <w:rFonts w:eastAsia="Times New Roman" w:cs="Times New Roman"/>
      <w:sz w:val="20"/>
      <w:szCs w:val="20"/>
      <w:lang w:val="lv-LV"/>
    </w:rPr>
  </w:style>
  <w:style w:type="paragraph" w:styleId="llb">
    <w:name w:val="footer"/>
    <w:basedOn w:val="Norml"/>
    <w:link w:val="llbChar"/>
    <w:uiPriority w:val="99"/>
    <w:unhideWhenUsed/>
    <w:rsid w:val="00A84F2E"/>
    <w:pPr>
      <w:tabs>
        <w:tab w:val="center" w:pos="4536"/>
        <w:tab w:val="right" w:pos="9072"/>
      </w:tabs>
    </w:pPr>
    <w:rPr>
      <w:rFonts w:ascii="Calibri" w:eastAsia="Calibri" w:hAnsi="Calibri" w:cs="Times New Roman"/>
      <w:lang w:val="sk-SK"/>
    </w:rPr>
  </w:style>
  <w:style w:type="character" w:customStyle="1" w:styleId="llbChar">
    <w:name w:val="Élőláb Char"/>
    <w:basedOn w:val="Bekezdsalapbettpusa"/>
    <w:link w:val="llb"/>
    <w:uiPriority w:val="99"/>
    <w:rsid w:val="00A84F2E"/>
    <w:rPr>
      <w:rFonts w:ascii="Calibri" w:eastAsia="Calibri" w:hAnsi="Calibri" w:cs="Times New Roman"/>
      <w:lang w:val="sk-SK"/>
    </w:rPr>
  </w:style>
  <w:style w:type="paragraph" w:customStyle="1" w:styleId="BasicParagraph">
    <w:name w:val="[Basic Paragraph]"/>
    <w:basedOn w:val="Norml"/>
    <w:uiPriority w:val="99"/>
    <w:rsid w:val="008B2F7F"/>
    <w:pPr>
      <w:autoSpaceDE w:val="0"/>
      <w:autoSpaceDN w:val="0"/>
      <w:adjustRightInd w:val="0"/>
      <w:spacing w:line="288" w:lineRule="auto"/>
      <w:textAlignment w:val="center"/>
    </w:pPr>
    <w:rPr>
      <w:rFonts w:ascii="Times New Roman" w:eastAsia="Calibri" w:hAnsi="Times New Roman" w:cs="Times New Roman"/>
      <w:color w:val="000000"/>
      <w:sz w:val="24"/>
      <w:szCs w:val="24"/>
      <w:lang w:val="en-US" w:eastAsia="hu-HU"/>
    </w:rPr>
  </w:style>
  <w:style w:type="paragraph" w:styleId="lfej">
    <w:name w:val="header"/>
    <w:basedOn w:val="Norml"/>
    <w:link w:val="lfejChar"/>
    <w:uiPriority w:val="99"/>
    <w:unhideWhenUsed/>
    <w:rsid w:val="008B2F7F"/>
    <w:pPr>
      <w:tabs>
        <w:tab w:val="center" w:pos="4536"/>
        <w:tab w:val="right" w:pos="9072"/>
      </w:tabs>
    </w:pPr>
  </w:style>
  <w:style w:type="character" w:customStyle="1" w:styleId="lfejChar">
    <w:name w:val="Élőfej Char"/>
    <w:basedOn w:val="Bekezdsalapbettpusa"/>
    <w:link w:val="lfej"/>
    <w:uiPriority w:val="99"/>
    <w:rsid w:val="008B2F7F"/>
  </w:style>
  <w:style w:type="paragraph" w:styleId="Buborkszveg">
    <w:name w:val="Balloon Text"/>
    <w:basedOn w:val="Norml"/>
    <w:link w:val="BuborkszvegChar"/>
    <w:uiPriority w:val="99"/>
    <w:semiHidden/>
    <w:unhideWhenUsed/>
    <w:rsid w:val="00412AB3"/>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412AB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3171866">
      <w:bodyDiv w:val="1"/>
      <w:marLeft w:val="0"/>
      <w:marRight w:val="0"/>
      <w:marTop w:val="0"/>
      <w:marBottom w:val="0"/>
      <w:divBdr>
        <w:top w:val="none" w:sz="0" w:space="0" w:color="auto"/>
        <w:left w:val="none" w:sz="0" w:space="0" w:color="auto"/>
        <w:bottom w:val="none" w:sz="0" w:space="0" w:color="auto"/>
        <w:right w:val="none" w:sz="0" w:space="0" w:color="auto"/>
      </w:divBdr>
    </w:div>
    <w:div w:id="1240361136">
      <w:bodyDiv w:val="1"/>
      <w:marLeft w:val="0"/>
      <w:marRight w:val="0"/>
      <w:marTop w:val="0"/>
      <w:marBottom w:val="0"/>
      <w:divBdr>
        <w:top w:val="none" w:sz="0" w:space="0" w:color="auto"/>
        <w:left w:val="none" w:sz="0" w:space="0" w:color="auto"/>
        <w:bottom w:val="none" w:sz="0" w:space="0" w:color="auto"/>
        <w:right w:val="none" w:sz="0" w:space="0" w:color="auto"/>
      </w:divBdr>
    </w:div>
    <w:div w:id="20187309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13</Pages>
  <Words>2584</Words>
  <Characters>17835</Characters>
  <Application>Microsoft Office Word</Application>
  <DocSecurity>0</DocSecurity>
  <Lines>148</Lines>
  <Paragraphs>40</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20379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Szűrösné Németh Hajnalka</dc:creator>
  <cp:keywords/>
  <dc:description/>
  <cp:lastModifiedBy>Szűrösné Németh Hajnalka</cp:lastModifiedBy>
  <cp:revision>2</cp:revision>
  <cp:lastPrinted>2016-04-13T10:31:00Z</cp:lastPrinted>
  <dcterms:created xsi:type="dcterms:W3CDTF">2016-05-11T11:00:00Z</dcterms:created>
  <dcterms:modified xsi:type="dcterms:W3CDTF">2016-05-11T11:00:00Z</dcterms:modified>
</cp:coreProperties>
</file>